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F0ECC" w14:textId="77777777" w:rsidR="00CB0F19" w:rsidRDefault="00CB0F19" w:rsidP="00CB0F19">
      <w:pPr>
        <w:jc w:val="center"/>
        <w:rPr>
          <w:b/>
          <w:color w:val="0070C0"/>
          <w:sz w:val="28"/>
          <w:szCs w:val="28"/>
        </w:rPr>
      </w:pPr>
    </w:p>
    <w:p w14:paraId="15DFF06F" w14:textId="77777777" w:rsidR="00CB0F19" w:rsidRDefault="00CB0F19" w:rsidP="00CB0F19">
      <w:pPr>
        <w:jc w:val="center"/>
        <w:rPr>
          <w:b/>
          <w:color w:val="0070C0"/>
          <w:sz w:val="28"/>
          <w:szCs w:val="28"/>
        </w:rPr>
      </w:pPr>
    </w:p>
    <w:p w14:paraId="5179F9DC" w14:textId="242761CE" w:rsidR="00CB0F19" w:rsidRPr="00AC7D76" w:rsidRDefault="00CB0F19" w:rsidP="00CB0F19">
      <w:pPr>
        <w:jc w:val="center"/>
        <w:rPr>
          <w:b/>
          <w:color w:val="0070C0"/>
          <w:sz w:val="28"/>
          <w:szCs w:val="28"/>
        </w:rPr>
      </w:pPr>
      <w:r w:rsidRPr="00AC7D76">
        <w:rPr>
          <w:b/>
          <w:color w:val="0070C0"/>
          <w:sz w:val="28"/>
          <w:szCs w:val="28"/>
        </w:rPr>
        <w:t>GUIDELINES IN THE REVIEW AND COMPLIANCE PRO</w:t>
      </w:r>
      <w:r>
        <w:rPr>
          <w:b/>
          <w:color w:val="0070C0"/>
          <w:sz w:val="28"/>
          <w:szCs w:val="28"/>
        </w:rPr>
        <w:t>C</w:t>
      </w:r>
      <w:r w:rsidRPr="00AC7D76">
        <w:rPr>
          <w:b/>
          <w:color w:val="0070C0"/>
          <w:sz w:val="28"/>
          <w:szCs w:val="28"/>
        </w:rPr>
        <w:t>EDURES IN THE FILING AND SUBMISSION OF STATEMENT OF ASSETS, LIABILITIES AND NETWORTH (SALN) AND DISCLOSURE OF BUSINESS INTEREST AND FINANCIAL CONNECTIONS</w:t>
      </w:r>
    </w:p>
    <w:p w14:paraId="4F734EB4" w14:textId="77777777" w:rsidR="00CB0F19" w:rsidRPr="00AC7D76" w:rsidRDefault="00CB0F19" w:rsidP="00CB0F19">
      <w:pPr>
        <w:jc w:val="both"/>
        <w:rPr>
          <w:color w:val="0070C0"/>
          <w:sz w:val="28"/>
          <w:szCs w:val="28"/>
        </w:rPr>
      </w:pPr>
    </w:p>
    <w:p w14:paraId="159F2ACE" w14:textId="77777777" w:rsidR="00CB0F19" w:rsidRPr="00AC7D76" w:rsidRDefault="00CB0F19" w:rsidP="00CB0F19">
      <w:pPr>
        <w:jc w:val="both"/>
        <w:rPr>
          <w:color w:val="0070C0"/>
          <w:sz w:val="28"/>
          <w:szCs w:val="28"/>
        </w:rPr>
      </w:pPr>
    </w:p>
    <w:p w14:paraId="1639EB64" w14:textId="77777777" w:rsidR="00CB0F19" w:rsidRPr="00972F89" w:rsidRDefault="00CB0F19" w:rsidP="00CB0F19">
      <w:pPr>
        <w:jc w:val="both"/>
        <w:rPr>
          <w:b/>
          <w:color w:val="FF0000"/>
          <w:sz w:val="28"/>
          <w:szCs w:val="28"/>
        </w:rPr>
      </w:pPr>
      <w:r w:rsidRPr="00972F89">
        <w:rPr>
          <w:b/>
          <w:color w:val="FF0000"/>
          <w:sz w:val="28"/>
          <w:szCs w:val="28"/>
        </w:rPr>
        <w:t>REFERENCES:</w:t>
      </w:r>
    </w:p>
    <w:p w14:paraId="47082AE7" w14:textId="77777777" w:rsidR="00CB0F19" w:rsidRPr="00AC7D76" w:rsidRDefault="00CB0F19" w:rsidP="00CB0F19">
      <w:pPr>
        <w:pStyle w:val="ListParagraph"/>
        <w:numPr>
          <w:ilvl w:val="0"/>
          <w:numId w:val="23"/>
        </w:numPr>
        <w:jc w:val="both"/>
        <w:rPr>
          <w:sz w:val="28"/>
          <w:szCs w:val="28"/>
        </w:rPr>
      </w:pPr>
      <w:r w:rsidRPr="00AC7D76">
        <w:rPr>
          <w:sz w:val="28"/>
          <w:szCs w:val="28"/>
        </w:rPr>
        <w:t>1987 Constitution</w:t>
      </w:r>
    </w:p>
    <w:p w14:paraId="1F62B603" w14:textId="77777777" w:rsidR="00CB0F19" w:rsidRPr="00AC7D76" w:rsidRDefault="00CB0F19" w:rsidP="00CB0F19">
      <w:pPr>
        <w:pStyle w:val="ListParagraph"/>
        <w:numPr>
          <w:ilvl w:val="0"/>
          <w:numId w:val="23"/>
        </w:numPr>
        <w:jc w:val="both"/>
        <w:rPr>
          <w:sz w:val="28"/>
          <w:szCs w:val="28"/>
        </w:rPr>
      </w:pPr>
      <w:r w:rsidRPr="00AC7D76">
        <w:rPr>
          <w:sz w:val="28"/>
          <w:szCs w:val="28"/>
        </w:rPr>
        <w:t>Republic Act No. 6713 or the “Code of Conduct and Ethical Standards for Public Officials and Employees”</w:t>
      </w:r>
    </w:p>
    <w:p w14:paraId="28ED5F9E" w14:textId="77777777" w:rsidR="00CB0F19" w:rsidRPr="00AC7D76" w:rsidRDefault="00CB0F19" w:rsidP="00CB0F19">
      <w:pPr>
        <w:pStyle w:val="ListParagraph"/>
        <w:numPr>
          <w:ilvl w:val="0"/>
          <w:numId w:val="23"/>
        </w:numPr>
        <w:jc w:val="both"/>
        <w:rPr>
          <w:sz w:val="28"/>
          <w:szCs w:val="28"/>
        </w:rPr>
      </w:pPr>
      <w:r w:rsidRPr="00AC7D76">
        <w:rPr>
          <w:sz w:val="28"/>
          <w:szCs w:val="28"/>
        </w:rPr>
        <w:t>CSC Memorandum Circular No. 10, s. 2006 on the “Review and Compliance Procedure in the Filing and Submission of Statement of Assets, Liabilities and Networth and Disclosure of Business Interest and Financial Connections”</w:t>
      </w:r>
    </w:p>
    <w:p w14:paraId="3579F1A9" w14:textId="77777777" w:rsidR="00CB0F19" w:rsidRPr="00AC7D76" w:rsidRDefault="00CB0F19" w:rsidP="00CB0F19">
      <w:pPr>
        <w:pStyle w:val="ListParagraph"/>
        <w:numPr>
          <w:ilvl w:val="0"/>
          <w:numId w:val="23"/>
        </w:numPr>
        <w:jc w:val="both"/>
        <w:rPr>
          <w:sz w:val="28"/>
          <w:szCs w:val="28"/>
        </w:rPr>
      </w:pPr>
      <w:r w:rsidRPr="00AC7D76">
        <w:rPr>
          <w:sz w:val="28"/>
          <w:szCs w:val="28"/>
        </w:rPr>
        <w:t>CSC Resolution Nos. 1300455 and 1500088</w:t>
      </w:r>
    </w:p>
    <w:p w14:paraId="2238C241" w14:textId="77777777" w:rsidR="00CB0F19" w:rsidRPr="00AC7D76" w:rsidRDefault="00CB0F19" w:rsidP="00CB0F19">
      <w:pPr>
        <w:pStyle w:val="ListParagraph"/>
        <w:numPr>
          <w:ilvl w:val="0"/>
          <w:numId w:val="23"/>
        </w:numPr>
        <w:jc w:val="both"/>
        <w:rPr>
          <w:sz w:val="28"/>
          <w:szCs w:val="28"/>
        </w:rPr>
      </w:pPr>
      <w:r w:rsidRPr="00AC7D76">
        <w:rPr>
          <w:sz w:val="28"/>
          <w:szCs w:val="28"/>
        </w:rPr>
        <w:t>IATF AO 25 Memorandum Circular No. 2018 – 1, s. 2018</w:t>
      </w:r>
    </w:p>
    <w:p w14:paraId="7680F3A1" w14:textId="77777777" w:rsidR="00CB0F19" w:rsidRPr="00AC7D76" w:rsidRDefault="00CB0F19" w:rsidP="00CB0F19">
      <w:pPr>
        <w:pStyle w:val="ListParagraph"/>
        <w:ind w:left="1080"/>
        <w:jc w:val="both"/>
        <w:rPr>
          <w:sz w:val="28"/>
          <w:szCs w:val="28"/>
        </w:rPr>
      </w:pPr>
    </w:p>
    <w:p w14:paraId="4C0F5449" w14:textId="77777777" w:rsidR="00CB0F19" w:rsidRPr="00972F89" w:rsidRDefault="00CB0F19" w:rsidP="00CB0F19">
      <w:pPr>
        <w:pStyle w:val="NoSpacing"/>
        <w:jc w:val="both"/>
        <w:rPr>
          <w:b/>
          <w:color w:val="FF0000"/>
          <w:sz w:val="28"/>
          <w:szCs w:val="28"/>
        </w:rPr>
      </w:pPr>
      <w:r w:rsidRPr="00972F89">
        <w:rPr>
          <w:b/>
          <w:color w:val="FF0000"/>
          <w:sz w:val="28"/>
          <w:szCs w:val="28"/>
        </w:rPr>
        <w:t>OBJECTIVE:</w:t>
      </w:r>
    </w:p>
    <w:p w14:paraId="03214479" w14:textId="77777777" w:rsidR="00CB0F19" w:rsidRPr="00AC7D76" w:rsidRDefault="00CB0F19" w:rsidP="00CB0F19">
      <w:pPr>
        <w:pStyle w:val="NoSpacing"/>
        <w:jc w:val="both"/>
        <w:rPr>
          <w:sz w:val="28"/>
          <w:szCs w:val="28"/>
        </w:rPr>
      </w:pPr>
    </w:p>
    <w:p w14:paraId="2E4C822B" w14:textId="77777777" w:rsidR="00CB0F19" w:rsidRPr="00AC7D76" w:rsidRDefault="00CB0F19" w:rsidP="00CB0F19">
      <w:pPr>
        <w:pStyle w:val="NoSpacing"/>
        <w:jc w:val="both"/>
        <w:rPr>
          <w:sz w:val="28"/>
          <w:szCs w:val="28"/>
        </w:rPr>
      </w:pPr>
      <w:r w:rsidRPr="00AC7D76">
        <w:rPr>
          <w:sz w:val="28"/>
          <w:szCs w:val="28"/>
        </w:rPr>
        <w:tab/>
        <w:t>The Constitution of the Republic of the Philippines requires public officers and employees to submit upon assumption of office and during such period as may be required by law, a declaration under oath of their assets, liabilities and networth (SALN).  The same shall be accomplished under oath as the public has the right to know their SALN and financial and business interest including their spouses and unmarried children below eighteen (18) years of age living in their households.  As it is endowed with public interest, there is a need to establish a review and compliance procedures in the filing and submission thereof thus this guideline.</w:t>
      </w:r>
    </w:p>
    <w:p w14:paraId="482A658B" w14:textId="77777777" w:rsidR="00CB0F19" w:rsidRDefault="00CB0F19" w:rsidP="00CB0F19">
      <w:pPr>
        <w:pStyle w:val="NoSpacing"/>
        <w:jc w:val="both"/>
        <w:rPr>
          <w:sz w:val="28"/>
          <w:szCs w:val="28"/>
        </w:rPr>
      </w:pPr>
    </w:p>
    <w:p w14:paraId="1D865FA3" w14:textId="77777777" w:rsidR="00CB0F19" w:rsidRDefault="00CB0F19" w:rsidP="00CB0F19">
      <w:pPr>
        <w:pStyle w:val="NoSpacing"/>
        <w:jc w:val="both"/>
        <w:rPr>
          <w:sz w:val="28"/>
          <w:szCs w:val="28"/>
        </w:rPr>
      </w:pPr>
    </w:p>
    <w:p w14:paraId="470FB766" w14:textId="77777777" w:rsidR="00CB0F19" w:rsidRDefault="00CB0F19" w:rsidP="00CB0F19">
      <w:pPr>
        <w:pStyle w:val="NoSpacing"/>
        <w:jc w:val="both"/>
        <w:rPr>
          <w:sz w:val="28"/>
          <w:szCs w:val="28"/>
        </w:rPr>
      </w:pPr>
    </w:p>
    <w:p w14:paraId="40FB8CF6" w14:textId="77777777" w:rsidR="00CB0F19" w:rsidRPr="00AC7D76" w:rsidRDefault="00CB0F19" w:rsidP="00CB0F19">
      <w:pPr>
        <w:pStyle w:val="NoSpacing"/>
        <w:jc w:val="both"/>
        <w:rPr>
          <w:sz w:val="28"/>
          <w:szCs w:val="28"/>
        </w:rPr>
      </w:pPr>
    </w:p>
    <w:p w14:paraId="0D5B8918" w14:textId="77777777" w:rsidR="00CB0F19" w:rsidRPr="00972F89" w:rsidRDefault="00CB0F19" w:rsidP="00CB0F19">
      <w:pPr>
        <w:pStyle w:val="NoSpacing"/>
        <w:jc w:val="both"/>
        <w:rPr>
          <w:b/>
          <w:color w:val="FF0000"/>
          <w:sz w:val="28"/>
          <w:szCs w:val="28"/>
        </w:rPr>
      </w:pPr>
      <w:r w:rsidRPr="00972F89">
        <w:rPr>
          <w:b/>
          <w:color w:val="FF0000"/>
          <w:sz w:val="28"/>
          <w:szCs w:val="28"/>
        </w:rPr>
        <w:t>COVERAGE:</w:t>
      </w:r>
    </w:p>
    <w:p w14:paraId="0BA71B63" w14:textId="77777777" w:rsidR="00CB0F19" w:rsidRPr="00AC7D76" w:rsidRDefault="00CB0F19" w:rsidP="00CB0F19">
      <w:pPr>
        <w:pStyle w:val="NoSpacing"/>
        <w:jc w:val="both"/>
        <w:rPr>
          <w:sz w:val="28"/>
          <w:szCs w:val="28"/>
        </w:rPr>
      </w:pPr>
    </w:p>
    <w:p w14:paraId="24D26B40" w14:textId="77777777" w:rsidR="00CB0F19" w:rsidRPr="00AC7D76" w:rsidRDefault="00CB0F19" w:rsidP="00CB0F19">
      <w:pPr>
        <w:pStyle w:val="NoSpacing"/>
        <w:jc w:val="both"/>
        <w:rPr>
          <w:sz w:val="28"/>
          <w:szCs w:val="28"/>
        </w:rPr>
      </w:pPr>
      <w:r w:rsidRPr="00AC7D76">
        <w:rPr>
          <w:sz w:val="28"/>
          <w:szCs w:val="28"/>
        </w:rPr>
        <w:tab/>
        <w:t>These guidelines shall cover all Plantilla-Based Personnel regardless of employment status.</w:t>
      </w:r>
    </w:p>
    <w:p w14:paraId="37693843" w14:textId="77777777" w:rsidR="00CB0F19" w:rsidRPr="00AC7D76" w:rsidRDefault="00CB0F19" w:rsidP="00CB0F19">
      <w:pPr>
        <w:pStyle w:val="NoSpacing"/>
        <w:jc w:val="both"/>
        <w:rPr>
          <w:sz w:val="28"/>
          <w:szCs w:val="28"/>
        </w:rPr>
      </w:pPr>
    </w:p>
    <w:p w14:paraId="5AA03D27" w14:textId="77777777" w:rsidR="00CB0F19" w:rsidRPr="00972F89" w:rsidRDefault="00CB0F19" w:rsidP="00CB0F19">
      <w:pPr>
        <w:pStyle w:val="NoSpacing"/>
        <w:jc w:val="both"/>
        <w:rPr>
          <w:b/>
          <w:color w:val="C00000"/>
          <w:sz w:val="28"/>
          <w:szCs w:val="28"/>
        </w:rPr>
      </w:pPr>
      <w:r w:rsidRPr="00972F89">
        <w:rPr>
          <w:b/>
          <w:color w:val="C00000"/>
          <w:sz w:val="28"/>
          <w:szCs w:val="28"/>
        </w:rPr>
        <w:t>GUIDELINES:</w:t>
      </w:r>
    </w:p>
    <w:p w14:paraId="5056E0B3" w14:textId="77777777" w:rsidR="00CB0F19" w:rsidRPr="00972F89" w:rsidRDefault="00CB0F19" w:rsidP="00CB0F19">
      <w:pPr>
        <w:pStyle w:val="NoSpacing"/>
        <w:jc w:val="both"/>
        <w:rPr>
          <w:b/>
          <w:color w:val="C00000"/>
          <w:sz w:val="28"/>
          <w:szCs w:val="28"/>
        </w:rPr>
      </w:pPr>
    </w:p>
    <w:p w14:paraId="2FF72392" w14:textId="77777777" w:rsidR="00CB0F19" w:rsidRPr="00972F89" w:rsidRDefault="00CB0F19" w:rsidP="00CB0F19">
      <w:pPr>
        <w:pStyle w:val="NoSpacing"/>
        <w:jc w:val="both"/>
        <w:rPr>
          <w:b/>
          <w:color w:val="0070C0"/>
          <w:sz w:val="28"/>
          <w:szCs w:val="28"/>
        </w:rPr>
      </w:pPr>
      <w:r w:rsidRPr="00972F89">
        <w:rPr>
          <w:b/>
          <w:sz w:val="28"/>
          <w:szCs w:val="28"/>
        </w:rPr>
        <w:tab/>
      </w:r>
      <w:r w:rsidRPr="00972F89">
        <w:rPr>
          <w:b/>
          <w:color w:val="0070C0"/>
          <w:sz w:val="28"/>
          <w:szCs w:val="28"/>
        </w:rPr>
        <w:t>Section I.</w:t>
      </w:r>
      <w:r w:rsidRPr="00972F89">
        <w:rPr>
          <w:b/>
          <w:color w:val="0070C0"/>
          <w:sz w:val="28"/>
          <w:szCs w:val="28"/>
        </w:rPr>
        <w:tab/>
        <w:t>FILING AND SUBMISSION OF SALN</w:t>
      </w:r>
    </w:p>
    <w:p w14:paraId="371C6B23" w14:textId="77777777" w:rsidR="00CB0F19" w:rsidRDefault="00CB0F19" w:rsidP="00CB0F19">
      <w:pPr>
        <w:pStyle w:val="NoSpacing"/>
        <w:jc w:val="both"/>
        <w:rPr>
          <w:sz w:val="28"/>
          <w:szCs w:val="28"/>
        </w:rPr>
      </w:pPr>
    </w:p>
    <w:p w14:paraId="5846E20C" w14:textId="77777777" w:rsidR="00CB0F19" w:rsidRDefault="00CB0F19" w:rsidP="00CB0F19">
      <w:pPr>
        <w:pStyle w:val="NoSpacing"/>
        <w:numPr>
          <w:ilvl w:val="0"/>
          <w:numId w:val="24"/>
        </w:numPr>
        <w:jc w:val="both"/>
        <w:rPr>
          <w:sz w:val="28"/>
          <w:szCs w:val="28"/>
        </w:rPr>
      </w:pPr>
      <w:r>
        <w:rPr>
          <w:sz w:val="28"/>
          <w:szCs w:val="28"/>
        </w:rPr>
        <w:t xml:space="preserve"> All Plantilla-Based Personnel (Plantilla Personnel) shall file under oath their SALN and Disclosure of Business Interest and Financial Connections with the Human Resource Management Section, to wit:</w:t>
      </w:r>
    </w:p>
    <w:p w14:paraId="325AD960" w14:textId="77777777" w:rsidR="00CB0F19" w:rsidRDefault="00CB0F19" w:rsidP="00CB0F19">
      <w:pPr>
        <w:pStyle w:val="NoSpacing"/>
        <w:ind w:left="2520"/>
        <w:jc w:val="both"/>
        <w:rPr>
          <w:sz w:val="28"/>
          <w:szCs w:val="28"/>
        </w:rPr>
      </w:pPr>
    </w:p>
    <w:p w14:paraId="62520ABE" w14:textId="77777777" w:rsidR="00CB0F19" w:rsidRDefault="00CB0F19" w:rsidP="00CB0F19">
      <w:pPr>
        <w:pStyle w:val="NoSpacing"/>
        <w:numPr>
          <w:ilvl w:val="0"/>
          <w:numId w:val="25"/>
        </w:numPr>
        <w:jc w:val="both"/>
        <w:rPr>
          <w:sz w:val="28"/>
          <w:szCs w:val="28"/>
        </w:rPr>
      </w:pPr>
      <w:r>
        <w:rPr>
          <w:sz w:val="28"/>
          <w:szCs w:val="28"/>
        </w:rPr>
        <w:t>Within thirty (30) day after assumption of office, statement of which must be reckoned as his/her first day of office;</w:t>
      </w:r>
    </w:p>
    <w:p w14:paraId="0073172F" w14:textId="77777777" w:rsidR="00CB0F19" w:rsidRDefault="00CB0F19" w:rsidP="00CB0F19">
      <w:pPr>
        <w:pStyle w:val="NoSpacing"/>
        <w:numPr>
          <w:ilvl w:val="0"/>
          <w:numId w:val="25"/>
        </w:numPr>
        <w:jc w:val="both"/>
        <w:rPr>
          <w:sz w:val="28"/>
          <w:szCs w:val="28"/>
        </w:rPr>
      </w:pPr>
      <w:r>
        <w:rPr>
          <w:sz w:val="28"/>
          <w:szCs w:val="28"/>
        </w:rPr>
        <w:t>On or before January 30 of every year thereafter, statement of which must be reckoned as of the end of the preceding year;</w:t>
      </w:r>
    </w:p>
    <w:p w14:paraId="5A4D18B9" w14:textId="77777777" w:rsidR="00CB0F19" w:rsidRDefault="00CB0F19" w:rsidP="00CB0F19">
      <w:pPr>
        <w:pStyle w:val="NoSpacing"/>
        <w:numPr>
          <w:ilvl w:val="0"/>
          <w:numId w:val="25"/>
        </w:numPr>
        <w:jc w:val="both"/>
        <w:rPr>
          <w:sz w:val="28"/>
          <w:szCs w:val="28"/>
        </w:rPr>
      </w:pPr>
      <w:r>
        <w:rPr>
          <w:sz w:val="28"/>
          <w:szCs w:val="28"/>
        </w:rPr>
        <w:t>Within thirty (30) day after separation rom the service, statement of which must be reckoned as of his/her last day of office;</w:t>
      </w:r>
    </w:p>
    <w:p w14:paraId="5ABA6951" w14:textId="77777777" w:rsidR="00CB0F19" w:rsidRDefault="00CB0F19" w:rsidP="00CB0F19">
      <w:pPr>
        <w:pStyle w:val="NoSpacing"/>
        <w:numPr>
          <w:ilvl w:val="0"/>
          <w:numId w:val="25"/>
        </w:numPr>
        <w:jc w:val="both"/>
        <w:rPr>
          <w:sz w:val="28"/>
          <w:szCs w:val="28"/>
        </w:rPr>
      </w:pPr>
      <w:r>
        <w:rPr>
          <w:sz w:val="28"/>
          <w:szCs w:val="28"/>
        </w:rPr>
        <w:t>Employees are strictly required to fill in all applicable information and/or make a true detailed statement in their SALNs.  Items not applicable should be marked N/A (</w:t>
      </w:r>
      <w:r w:rsidRPr="00196CCF">
        <w:rPr>
          <w:b/>
          <w:sz w:val="28"/>
          <w:szCs w:val="28"/>
        </w:rPr>
        <w:t>N</w:t>
      </w:r>
      <w:r>
        <w:rPr>
          <w:sz w:val="28"/>
          <w:szCs w:val="28"/>
        </w:rPr>
        <w:t xml:space="preserve">ot </w:t>
      </w:r>
      <w:r w:rsidRPr="00196CCF">
        <w:rPr>
          <w:b/>
          <w:sz w:val="28"/>
          <w:szCs w:val="28"/>
        </w:rPr>
        <w:t>A</w:t>
      </w:r>
      <w:r>
        <w:rPr>
          <w:sz w:val="28"/>
          <w:szCs w:val="28"/>
        </w:rPr>
        <w:t>pplicable).</w:t>
      </w:r>
    </w:p>
    <w:p w14:paraId="3C673440" w14:textId="77777777" w:rsidR="00CB0F19" w:rsidRDefault="00CB0F19" w:rsidP="00CB0F19">
      <w:pPr>
        <w:pStyle w:val="NoSpacing"/>
        <w:ind w:left="3240"/>
        <w:jc w:val="both"/>
        <w:rPr>
          <w:sz w:val="28"/>
          <w:szCs w:val="28"/>
        </w:rPr>
      </w:pPr>
    </w:p>
    <w:p w14:paraId="5E4C3D56" w14:textId="77777777" w:rsidR="00CB0F19" w:rsidRDefault="00CB0F19" w:rsidP="00CB0F19">
      <w:pPr>
        <w:pStyle w:val="NoSpacing"/>
        <w:ind w:left="3240"/>
        <w:jc w:val="both"/>
        <w:rPr>
          <w:sz w:val="28"/>
          <w:szCs w:val="28"/>
        </w:rPr>
      </w:pPr>
    </w:p>
    <w:p w14:paraId="2DD9EE06" w14:textId="77777777" w:rsidR="00CB0F19" w:rsidRDefault="00CB0F19" w:rsidP="00CB0F19">
      <w:pPr>
        <w:pStyle w:val="NoSpacing"/>
        <w:ind w:left="3240"/>
        <w:jc w:val="both"/>
        <w:rPr>
          <w:sz w:val="28"/>
          <w:szCs w:val="28"/>
        </w:rPr>
      </w:pPr>
    </w:p>
    <w:p w14:paraId="1C8D3798" w14:textId="77777777" w:rsidR="00CB0F19" w:rsidRDefault="00CB0F19" w:rsidP="00CB0F19">
      <w:pPr>
        <w:pStyle w:val="NoSpacing"/>
        <w:ind w:left="3240"/>
        <w:jc w:val="both"/>
        <w:rPr>
          <w:sz w:val="28"/>
          <w:szCs w:val="28"/>
        </w:rPr>
      </w:pPr>
    </w:p>
    <w:p w14:paraId="709A8CC5" w14:textId="77777777" w:rsidR="00CB0F19" w:rsidRDefault="00CB0F19" w:rsidP="00CB0F19">
      <w:pPr>
        <w:pStyle w:val="NoSpacing"/>
        <w:ind w:left="3240"/>
        <w:jc w:val="both"/>
        <w:rPr>
          <w:sz w:val="28"/>
          <w:szCs w:val="28"/>
        </w:rPr>
      </w:pPr>
    </w:p>
    <w:p w14:paraId="74175780" w14:textId="77777777" w:rsidR="00CB0F19" w:rsidRPr="007B6F64" w:rsidRDefault="00CB0F19" w:rsidP="00CB0F19">
      <w:pPr>
        <w:pStyle w:val="NoSpacing"/>
        <w:jc w:val="both"/>
        <w:rPr>
          <w:sz w:val="28"/>
          <w:szCs w:val="28"/>
        </w:rPr>
      </w:pPr>
    </w:p>
    <w:p w14:paraId="3E84C61B" w14:textId="77777777" w:rsidR="00CB0F19" w:rsidRPr="00972F89" w:rsidRDefault="00CB0F19" w:rsidP="00CB0F19">
      <w:pPr>
        <w:pStyle w:val="NoSpacing"/>
        <w:jc w:val="both"/>
        <w:rPr>
          <w:b/>
          <w:color w:val="0070C0"/>
          <w:sz w:val="28"/>
          <w:szCs w:val="28"/>
        </w:rPr>
      </w:pPr>
      <w:r>
        <w:rPr>
          <w:b/>
          <w:color w:val="0070C0"/>
          <w:sz w:val="28"/>
          <w:szCs w:val="28"/>
        </w:rPr>
        <w:tab/>
      </w:r>
      <w:r w:rsidRPr="00972F89">
        <w:rPr>
          <w:b/>
          <w:color w:val="0070C0"/>
          <w:sz w:val="28"/>
          <w:szCs w:val="28"/>
        </w:rPr>
        <w:t>Section 2.</w:t>
      </w:r>
      <w:r w:rsidRPr="00972F89">
        <w:rPr>
          <w:b/>
          <w:color w:val="0070C0"/>
          <w:sz w:val="28"/>
          <w:szCs w:val="28"/>
        </w:rPr>
        <w:tab/>
        <w:t xml:space="preserve">PERSON AUTHORIZED TO REVIEW AND EVALUATE THE </w:t>
      </w:r>
      <w:r w:rsidRPr="00972F89">
        <w:rPr>
          <w:b/>
          <w:color w:val="0070C0"/>
          <w:sz w:val="28"/>
          <w:szCs w:val="28"/>
        </w:rPr>
        <w:tab/>
      </w:r>
      <w:r w:rsidRPr="00972F89">
        <w:rPr>
          <w:b/>
          <w:color w:val="0070C0"/>
          <w:sz w:val="28"/>
          <w:szCs w:val="28"/>
        </w:rPr>
        <w:tab/>
      </w:r>
      <w:r w:rsidRPr="00972F89">
        <w:rPr>
          <w:b/>
          <w:color w:val="0070C0"/>
          <w:sz w:val="28"/>
          <w:szCs w:val="28"/>
        </w:rPr>
        <w:tab/>
      </w:r>
      <w:r w:rsidRPr="00972F89">
        <w:rPr>
          <w:b/>
          <w:color w:val="0070C0"/>
          <w:sz w:val="28"/>
          <w:szCs w:val="28"/>
        </w:rPr>
        <w:tab/>
      </w:r>
      <w:r w:rsidRPr="00972F89">
        <w:rPr>
          <w:b/>
          <w:color w:val="0070C0"/>
          <w:sz w:val="28"/>
          <w:szCs w:val="28"/>
        </w:rPr>
        <w:tab/>
        <w:t>SUBMITTED SALN</w:t>
      </w:r>
    </w:p>
    <w:p w14:paraId="06B0D659" w14:textId="77777777" w:rsidR="00CB0F19" w:rsidRDefault="00CB0F19" w:rsidP="00CB0F19">
      <w:pPr>
        <w:pStyle w:val="NoSpacing"/>
        <w:jc w:val="both"/>
        <w:rPr>
          <w:sz w:val="28"/>
          <w:szCs w:val="28"/>
        </w:rPr>
      </w:pPr>
    </w:p>
    <w:p w14:paraId="491BD452" w14:textId="77777777" w:rsidR="00CB0F19" w:rsidRDefault="00CB0F19" w:rsidP="00CB0F19">
      <w:pPr>
        <w:pStyle w:val="NoSpacing"/>
        <w:jc w:val="both"/>
        <w:rPr>
          <w:sz w:val="28"/>
          <w:szCs w:val="28"/>
        </w:rPr>
      </w:pPr>
      <w:r>
        <w:rPr>
          <w:sz w:val="28"/>
          <w:szCs w:val="28"/>
        </w:rPr>
        <w:lastRenderedPageBreak/>
        <w:tab/>
      </w:r>
      <w:r>
        <w:rPr>
          <w:sz w:val="28"/>
          <w:szCs w:val="28"/>
        </w:rPr>
        <w:tab/>
      </w:r>
      <w:r>
        <w:rPr>
          <w:sz w:val="28"/>
          <w:szCs w:val="28"/>
        </w:rPr>
        <w:tab/>
      </w:r>
      <w:r>
        <w:rPr>
          <w:sz w:val="28"/>
          <w:szCs w:val="28"/>
        </w:rPr>
        <w:tab/>
        <w:t xml:space="preserve">There should be a designated Review and Compliance </w:t>
      </w:r>
      <w:r>
        <w:rPr>
          <w:sz w:val="28"/>
          <w:szCs w:val="28"/>
        </w:rPr>
        <w:tab/>
      </w:r>
      <w:r>
        <w:rPr>
          <w:sz w:val="28"/>
          <w:szCs w:val="28"/>
        </w:rPr>
        <w:tab/>
      </w:r>
      <w:r>
        <w:rPr>
          <w:sz w:val="28"/>
          <w:szCs w:val="28"/>
        </w:rPr>
        <w:tab/>
      </w:r>
      <w:r>
        <w:rPr>
          <w:sz w:val="28"/>
          <w:szCs w:val="28"/>
        </w:rPr>
        <w:tab/>
        <w:t xml:space="preserve">Committee to receive, through the HRM Section and to evaluate </w:t>
      </w:r>
      <w:r>
        <w:rPr>
          <w:sz w:val="28"/>
          <w:szCs w:val="28"/>
        </w:rPr>
        <w:tab/>
      </w:r>
      <w:r>
        <w:rPr>
          <w:sz w:val="28"/>
          <w:szCs w:val="28"/>
        </w:rPr>
        <w:tab/>
      </w:r>
      <w:r>
        <w:rPr>
          <w:sz w:val="28"/>
          <w:szCs w:val="28"/>
        </w:rPr>
        <w:tab/>
        <w:t xml:space="preserve">if the same has been submitted on time, complete and in proper </w:t>
      </w:r>
      <w:r>
        <w:rPr>
          <w:sz w:val="28"/>
          <w:szCs w:val="28"/>
        </w:rPr>
        <w:tab/>
      </w:r>
      <w:r>
        <w:rPr>
          <w:sz w:val="28"/>
          <w:szCs w:val="28"/>
        </w:rPr>
        <w:tab/>
      </w:r>
      <w:r>
        <w:rPr>
          <w:sz w:val="28"/>
          <w:szCs w:val="28"/>
        </w:rPr>
        <w:tab/>
        <w:t xml:space="preserve">form, and render opinion interpreting the provisions on review </w:t>
      </w:r>
      <w:r>
        <w:rPr>
          <w:sz w:val="28"/>
          <w:szCs w:val="28"/>
        </w:rPr>
        <w:tab/>
      </w:r>
      <w:r>
        <w:rPr>
          <w:sz w:val="28"/>
          <w:szCs w:val="28"/>
        </w:rPr>
        <w:tab/>
      </w:r>
      <w:r>
        <w:rPr>
          <w:sz w:val="28"/>
          <w:szCs w:val="28"/>
        </w:rPr>
        <w:tab/>
        <w:t xml:space="preserve">and compliance procedure in the filing thereof.  The SALN </w:t>
      </w:r>
      <w:r>
        <w:rPr>
          <w:sz w:val="28"/>
          <w:szCs w:val="28"/>
        </w:rPr>
        <w:tab/>
      </w:r>
      <w:r>
        <w:rPr>
          <w:sz w:val="28"/>
          <w:szCs w:val="28"/>
        </w:rPr>
        <w:tab/>
      </w:r>
      <w:r>
        <w:rPr>
          <w:sz w:val="28"/>
          <w:szCs w:val="28"/>
        </w:rPr>
        <w:tab/>
      </w:r>
      <w:r>
        <w:rPr>
          <w:sz w:val="28"/>
          <w:szCs w:val="28"/>
        </w:rPr>
        <w:tab/>
        <w:t xml:space="preserve">Review and Compliance Committee shall be composed of the </w:t>
      </w:r>
      <w:r>
        <w:rPr>
          <w:sz w:val="28"/>
          <w:szCs w:val="28"/>
        </w:rPr>
        <w:tab/>
      </w:r>
      <w:r>
        <w:rPr>
          <w:sz w:val="28"/>
          <w:szCs w:val="28"/>
        </w:rPr>
        <w:tab/>
      </w:r>
      <w:r>
        <w:rPr>
          <w:sz w:val="28"/>
          <w:szCs w:val="28"/>
        </w:rPr>
        <w:tab/>
      </w:r>
      <w:r>
        <w:rPr>
          <w:sz w:val="28"/>
          <w:szCs w:val="28"/>
        </w:rPr>
        <w:tab/>
        <w:t>following:</w:t>
      </w:r>
    </w:p>
    <w:p w14:paraId="4BAD2C46" w14:textId="77777777" w:rsidR="00CB0F19" w:rsidRDefault="00CB0F19" w:rsidP="00CB0F19">
      <w:pPr>
        <w:pStyle w:val="NoSpacing"/>
        <w:jc w:val="both"/>
        <w:rPr>
          <w:sz w:val="28"/>
          <w:szCs w:val="28"/>
        </w:rPr>
      </w:pPr>
    </w:p>
    <w:p w14:paraId="4D885524" w14:textId="77777777" w:rsidR="00CB0F19" w:rsidRDefault="00CB0F19" w:rsidP="00CB0F19">
      <w:pPr>
        <w:pStyle w:val="NoSpacing"/>
        <w:numPr>
          <w:ilvl w:val="0"/>
          <w:numId w:val="26"/>
        </w:numPr>
        <w:jc w:val="both"/>
        <w:rPr>
          <w:sz w:val="28"/>
          <w:szCs w:val="28"/>
        </w:rPr>
      </w:pPr>
      <w:r>
        <w:rPr>
          <w:sz w:val="28"/>
          <w:szCs w:val="28"/>
        </w:rPr>
        <w:t>General Manager as Chairperson</w:t>
      </w:r>
    </w:p>
    <w:p w14:paraId="02372C82" w14:textId="77777777" w:rsidR="00CB0F19" w:rsidRDefault="00CB0F19" w:rsidP="00CB0F19">
      <w:pPr>
        <w:pStyle w:val="NoSpacing"/>
        <w:numPr>
          <w:ilvl w:val="0"/>
          <w:numId w:val="26"/>
        </w:numPr>
        <w:jc w:val="both"/>
        <w:rPr>
          <w:sz w:val="28"/>
          <w:szCs w:val="28"/>
        </w:rPr>
      </w:pPr>
      <w:r>
        <w:rPr>
          <w:sz w:val="28"/>
          <w:szCs w:val="28"/>
        </w:rPr>
        <w:t>Industrial Relations Management Officer B (HRMO) as Member</w:t>
      </w:r>
    </w:p>
    <w:p w14:paraId="19B33652" w14:textId="77777777" w:rsidR="00CB0F19" w:rsidRDefault="00CB0F19" w:rsidP="00CB0F19">
      <w:pPr>
        <w:pStyle w:val="NoSpacing"/>
        <w:numPr>
          <w:ilvl w:val="0"/>
          <w:numId w:val="26"/>
        </w:numPr>
        <w:jc w:val="both"/>
        <w:rPr>
          <w:sz w:val="28"/>
          <w:szCs w:val="28"/>
        </w:rPr>
      </w:pPr>
      <w:r>
        <w:rPr>
          <w:sz w:val="28"/>
          <w:szCs w:val="28"/>
        </w:rPr>
        <w:t>Administrative/General Services Officer – A as Member</w:t>
      </w:r>
    </w:p>
    <w:p w14:paraId="0B379906" w14:textId="77777777" w:rsidR="00CB0F19" w:rsidRDefault="00CB0F19" w:rsidP="00CB0F19">
      <w:pPr>
        <w:pStyle w:val="NoSpacing"/>
        <w:ind w:left="1800"/>
        <w:jc w:val="both"/>
        <w:rPr>
          <w:sz w:val="28"/>
          <w:szCs w:val="28"/>
        </w:rPr>
      </w:pPr>
    </w:p>
    <w:p w14:paraId="6EF62C41" w14:textId="77777777" w:rsidR="00CB0F19" w:rsidRDefault="00CB0F19" w:rsidP="00CB0F19">
      <w:pPr>
        <w:pStyle w:val="NoSpacing"/>
        <w:ind w:left="1800"/>
        <w:jc w:val="both"/>
        <w:rPr>
          <w:sz w:val="28"/>
          <w:szCs w:val="28"/>
        </w:rPr>
      </w:pPr>
      <w:r>
        <w:rPr>
          <w:sz w:val="28"/>
          <w:szCs w:val="28"/>
        </w:rPr>
        <w:t>The Committee shall determine whether the SALN submitted by the officials and employees is submitted on time, accomplished completely and within the prescribe format and monitor the existing guidelines on filing SALN.</w:t>
      </w:r>
    </w:p>
    <w:p w14:paraId="750CB8D7" w14:textId="77777777" w:rsidR="00CB0F19" w:rsidRDefault="00CB0F19" w:rsidP="00CB0F19">
      <w:pPr>
        <w:pStyle w:val="NoSpacing"/>
        <w:ind w:left="1800"/>
        <w:jc w:val="both"/>
        <w:rPr>
          <w:color w:val="0070C0"/>
          <w:sz w:val="28"/>
          <w:szCs w:val="28"/>
        </w:rPr>
      </w:pPr>
    </w:p>
    <w:p w14:paraId="041BFA6F" w14:textId="77777777" w:rsidR="00CB0F19" w:rsidRPr="00972F89" w:rsidRDefault="00CB0F19" w:rsidP="00CB0F19">
      <w:pPr>
        <w:pStyle w:val="NoSpacing"/>
        <w:jc w:val="both"/>
        <w:rPr>
          <w:color w:val="0070C0"/>
          <w:sz w:val="28"/>
          <w:szCs w:val="28"/>
        </w:rPr>
      </w:pPr>
    </w:p>
    <w:p w14:paraId="40631E36" w14:textId="77777777" w:rsidR="00CB0F19" w:rsidRDefault="00CB0F19" w:rsidP="00CB0F19">
      <w:pPr>
        <w:pStyle w:val="NoSpacing"/>
        <w:jc w:val="both"/>
        <w:rPr>
          <w:b/>
          <w:color w:val="0070C0"/>
          <w:sz w:val="28"/>
          <w:szCs w:val="28"/>
        </w:rPr>
      </w:pPr>
      <w:r w:rsidRPr="00972F89">
        <w:rPr>
          <w:color w:val="0070C0"/>
          <w:sz w:val="28"/>
          <w:szCs w:val="28"/>
        </w:rPr>
        <w:tab/>
      </w:r>
      <w:r w:rsidRPr="00972F89">
        <w:rPr>
          <w:b/>
          <w:color w:val="0070C0"/>
          <w:sz w:val="28"/>
          <w:szCs w:val="28"/>
        </w:rPr>
        <w:t>Section 3.</w:t>
      </w:r>
      <w:r w:rsidRPr="00972F89">
        <w:rPr>
          <w:b/>
          <w:color w:val="0070C0"/>
          <w:sz w:val="28"/>
          <w:szCs w:val="28"/>
        </w:rPr>
        <w:tab/>
        <w:t>D</w:t>
      </w:r>
      <w:r>
        <w:rPr>
          <w:b/>
          <w:color w:val="0070C0"/>
          <w:sz w:val="28"/>
          <w:szCs w:val="28"/>
        </w:rPr>
        <w:t>UTIES OF THE REVIEW ND COMPLIANCE COMMITTEE</w:t>
      </w:r>
    </w:p>
    <w:p w14:paraId="358AC5B3" w14:textId="77777777" w:rsidR="00CB0F19" w:rsidRDefault="00CB0F19" w:rsidP="00CB0F19">
      <w:pPr>
        <w:pStyle w:val="NoSpacing"/>
        <w:jc w:val="both"/>
        <w:rPr>
          <w:color w:val="0070C0"/>
          <w:sz w:val="28"/>
          <w:szCs w:val="28"/>
        </w:rPr>
      </w:pPr>
    </w:p>
    <w:p w14:paraId="27CF33D4" w14:textId="77777777" w:rsidR="00CB0F19" w:rsidRDefault="00CB0F19" w:rsidP="00CB0F19">
      <w:pPr>
        <w:pStyle w:val="NoSpacing"/>
        <w:jc w:val="both"/>
        <w:rPr>
          <w:color w:val="000000" w:themeColor="text1"/>
          <w:sz w:val="28"/>
          <w:szCs w:val="28"/>
        </w:rPr>
      </w:pPr>
      <w:r>
        <w:rPr>
          <w:color w:val="0070C0"/>
          <w:sz w:val="28"/>
          <w:szCs w:val="28"/>
        </w:rPr>
        <w:tab/>
      </w:r>
      <w:r>
        <w:rPr>
          <w:color w:val="0070C0"/>
          <w:sz w:val="28"/>
          <w:szCs w:val="28"/>
        </w:rPr>
        <w:tab/>
      </w:r>
      <w:r>
        <w:rPr>
          <w:color w:val="0070C0"/>
          <w:sz w:val="28"/>
          <w:szCs w:val="28"/>
        </w:rPr>
        <w:tab/>
      </w:r>
      <w:r>
        <w:rPr>
          <w:color w:val="0070C0"/>
          <w:sz w:val="28"/>
          <w:szCs w:val="28"/>
        </w:rPr>
        <w:tab/>
      </w:r>
      <w:r>
        <w:rPr>
          <w:color w:val="000000" w:themeColor="text1"/>
          <w:sz w:val="28"/>
          <w:szCs w:val="28"/>
        </w:rPr>
        <w:t xml:space="preserve">The Review and Compliance Committee shall prepare a </w:t>
      </w:r>
    </w:p>
    <w:p w14:paraId="530410A6" w14:textId="77777777" w:rsidR="00CB0F19" w:rsidRDefault="00CB0F19" w:rsidP="00CB0F19">
      <w:pPr>
        <w:pStyle w:val="NoSpacing"/>
        <w:jc w:val="both"/>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t xml:space="preserve">list of the following employees in alphabetical order to be </w:t>
      </w:r>
    </w:p>
    <w:p w14:paraId="5DFF98D4" w14:textId="77777777" w:rsidR="00CB0F19" w:rsidRDefault="00CB0F19" w:rsidP="00CB0F19">
      <w:pPr>
        <w:pStyle w:val="NoSpacing"/>
        <w:jc w:val="both"/>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t xml:space="preserve">submitted to the Human Resource Management Section on or </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before January 31</w:t>
      </w:r>
      <w:r w:rsidRPr="00972F89">
        <w:rPr>
          <w:color w:val="000000" w:themeColor="text1"/>
          <w:sz w:val="28"/>
          <w:szCs w:val="28"/>
          <w:vertAlign w:val="superscript"/>
        </w:rPr>
        <w:t>st</w:t>
      </w:r>
      <w:r>
        <w:rPr>
          <w:color w:val="000000" w:themeColor="text1"/>
          <w:sz w:val="28"/>
          <w:szCs w:val="28"/>
        </w:rPr>
        <w:t xml:space="preserve"> of every year.</w:t>
      </w:r>
    </w:p>
    <w:p w14:paraId="3196E5C4" w14:textId="77777777" w:rsidR="00CB0F19" w:rsidRDefault="00CB0F19" w:rsidP="00CB0F19">
      <w:pPr>
        <w:pStyle w:val="NoSpacing"/>
        <w:jc w:val="both"/>
        <w:rPr>
          <w:color w:val="000000" w:themeColor="text1"/>
          <w:sz w:val="28"/>
          <w:szCs w:val="28"/>
        </w:rPr>
      </w:pPr>
    </w:p>
    <w:p w14:paraId="04F96780" w14:textId="77777777" w:rsidR="00CB0F19" w:rsidRPr="000478D9" w:rsidRDefault="00CB0F19" w:rsidP="00CB0F19">
      <w:pPr>
        <w:pStyle w:val="NoSpacing"/>
        <w:numPr>
          <w:ilvl w:val="0"/>
          <w:numId w:val="26"/>
        </w:numPr>
        <w:jc w:val="both"/>
        <w:rPr>
          <w:color w:val="000000" w:themeColor="text1"/>
          <w:sz w:val="28"/>
          <w:szCs w:val="28"/>
        </w:rPr>
      </w:pPr>
      <w:r w:rsidRPr="000478D9">
        <w:rPr>
          <w:color w:val="000000" w:themeColor="text1"/>
          <w:sz w:val="28"/>
          <w:szCs w:val="28"/>
        </w:rPr>
        <w:t>Those who filed their SALNs with complete data;</w:t>
      </w:r>
    </w:p>
    <w:p w14:paraId="6F043E10" w14:textId="77777777" w:rsidR="00CB0F19" w:rsidRDefault="00CB0F19" w:rsidP="00CB0F19">
      <w:pPr>
        <w:pStyle w:val="NoSpacing"/>
        <w:numPr>
          <w:ilvl w:val="0"/>
          <w:numId w:val="26"/>
        </w:numPr>
        <w:jc w:val="both"/>
        <w:rPr>
          <w:color w:val="000000" w:themeColor="text1"/>
          <w:sz w:val="28"/>
          <w:szCs w:val="28"/>
        </w:rPr>
      </w:pPr>
      <w:r>
        <w:rPr>
          <w:color w:val="000000" w:themeColor="text1"/>
          <w:sz w:val="28"/>
          <w:szCs w:val="28"/>
        </w:rPr>
        <w:t>Those who filed their SALN but with incomplete data; and</w:t>
      </w:r>
    </w:p>
    <w:p w14:paraId="10CDDE3B" w14:textId="77777777" w:rsidR="00CB0F19" w:rsidRPr="000478D9" w:rsidRDefault="00CB0F19" w:rsidP="00CB0F19">
      <w:pPr>
        <w:pStyle w:val="NoSpacing"/>
        <w:numPr>
          <w:ilvl w:val="0"/>
          <w:numId w:val="26"/>
        </w:numPr>
        <w:jc w:val="both"/>
        <w:rPr>
          <w:sz w:val="28"/>
          <w:szCs w:val="28"/>
        </w:rPr>
      </w:pPr>
      <w:r>
        <w:rPr>
          <w:color w:val="000000" w:themeColor="text1"/>
          <w:sz w:val="28"/>
          <w:szCs w:val="28"/>
        </w:rPr>
        <w:t>Those who did not file their SALNs.</w:t>
      </w:r>
    </w:p>
    <w:p w14:paraId="44D33EFF" w14:textId="77777777" w:rsidR="00CB0F19" w:rsidRDefault="00CB0F19" w:rsidP="00CB0F19">
      <w:pPr>
        <w:pStyle w:val="NoSpacing"/>
        <w:ind w:left="1800"/>
        <w:jc w:val="both"/>
        <w:rPr>
          <w:sz w:val="28"/>
          <w:szCs w:val="28"/>
        </w:rPr>
      </w:pPr>
    </w:p>
    <w:p w14:paraId="77249400" w14:textId="77777777" w:rsidR="00CB0F19" w:rsidRDefault="00CB0F19" w:rsidP="00CB0F19">
      <w:pPr>
        <w:pStyle w:val="NoSpacing"/>
        <w:ind w:left="1800"/>
        <w:jc w:val="both"/>
        <w:rPr>
          <w:sz w:val="28"/>
          <w:szCs w:val="28"/>
        </w:rPr>
      </w:pPr>
    </w:p>
    <w:p w14:paraId="514EBC42" w14:textId="77777777" w:rsidR="00CB0F19" w:rsidRDefault="00CB0F19" w:rsidP="00CB0F19">
      <w:pPr>
        <w:pStyle w:val="NoSpacing"/>
        <w:ind w:left="1800"/>
        <w:jc w:val="both"/>
        <w:rPr>
          <w:sz w:val="28"/>
          <w:szCs w:val="28"/>
        </w:rPr>
      </w:pPr>
    </w:p>
    <w:p w14:paraId="54991E58" w14:textId="77777777" w:rsidR="00CB0F19" w:rsidRDefault="00CB0F19" w:rsidP="00CB0F19">
      <w:pPr>
        <w:pStyle w:val="NoSpacing"/>
        <w:ind w:left="1800"/>
        <w:jc w:val="both"/>
        <w:rPr>
          <w:sz w:val="28"/>
          <w:szCs w:val="28"/>
        </w:rPr>
      </w:pPr>
    </w:p>
    <w:p w14:paraId="112E052A" w14:textId="77777777" w:rsidR="00CB0F19" w:rsidRDefault="00CB0F19" w:rsidP="00CB0F19">
      <w:pPr>
        <w:pStyle w:val="NoSpacing"/>
        <w:ind w:left="1800"/>
        <w:jc w:val="both"/>
        <w:rPr>
          <w:sz w:val="28"/>
          <w:szCs w:val="28"/>
        </w:rPr>
      </w:pPr>
    </w:p>
    <w:p w14:paraId="2D88E504" w14:textId="77777777" w:rsidR="00CB0F19" w:rsidRDefault="00CB0F19" w:rsidP="00CB0F19">
      <w:pPr>
        <w:pStyle w:val="NoSpacing"/>
        <w:ind w:left="1800"/>
        <w:jc w:val="both"/>
        <w:rPr>
          <w:sz w:val="28"/>
          <w:szCs w:val="28"/>
        </w:rPr>
      </w:pPr>
    </w:p>
    <w:p w14:paraId="77C68C3D" w14:textId="77777777" w:rsidR="00CB0F19" w:rsidRPr="00AC7D76" w:rsidRDefault="00CB0F19" w:rsidP="00CB0F19">
      <w:pPr>
        <w:pStyle w:val="NoSpacing"/>
        <w:jc w:val="both"/>
        <w:rPr>
          <w:sz w:val="28"/>
          <w:szCs w:val="28"/>
        </w:rPr>
      </w:pPr>
    </w:p>
    <w:p w14:paraId="1D85EB34" w14:textId="77777777" w:rsidR="00CB0F19" w:rsidRDefault="00CB0F19">
      <w:pPr>
        <w:spacing w:after="160" w:line="259" w:lineRule="auto"/>
        <w:rPr>
          <w:rFonts w:asciiTheme="minorHAnsi" w:eastAsiaTheme="minorHAnsi" w:hAnsiTheme="minorHAnsi" w:cstheme="minorBidi"/>
          <w:b/>
          <w:color w:val="0070C0"/>
          <w:sz w:val="28"/>
          <w:szCs w:val="28"/>
        </w:rPr>
      </w:pPr>
      <w:r>
        <w:rPr>
          <w:b/>
          <w:color w:val="0070C0"/>
          <w:sz w:val="28"/>
          <w:szCs w:val="28"/>
        </w:rPr>
        <w:br w:type="page"/>
      </w:r>
    </w:p>
    <w:p w14:paraId="16FEEC6F" w14:textId="32BD26CA" w:rsidR="00CB0F19" w:rsidRDefault="00CB0F19" w:rsidP="00CB0F19">
      <w:pPr>
        <w:pStyle w:val="ListParagraph"/>
        <w:ind w:left="1080"/>
        <w:jc w:val="both"/>
        <w:rPr>
          <w:b/>
          <w:color w:val="0070C0"/>
          <w:sz w:val="28"/>
          <w:szCs w:val="28"/>
        </w:rPr>
      </w:pPr>
      <w:r w:rsidRPr="00972F89">
        <w:rPr>
          <w:b/>
          <w:color w:val="0070C0"/>
          <w:sz w:val="28"/>
          <w:szCs w:val="28"/>
        </w:rPr>
        <w:lastRenderedPageBreak/>
        <w:t xml:space="preserve">Section </w:t>
      </w:r>
      <w:r>
        <w:rPr>
          <w:b/>
          <w:color w:val="0070C0"/>
          <w:sz w:val="28"/>
          <w:szCs w:val="28"/>
        </w:rPr>
        <w:t>4</w:t>
      </w:r>
      <w:r w:rsidRPr="00972F89">
        <w:rPr>
          <w:b/>
          <w:color w:val="0070C0"/>
          <w:sz w:val="28"/>
          <w:szCs w:val="28"/>
        </w:rPr>
        <w:t>.</w:t>
      </w:r>
      <w:r>
        <w:rPr>
          <w:b/>
          <w:color w:val="0070C0"/>
          <w:sz w:val="28"/>
          <w:szCs w:val="28"/>
        </w:rPr>
        <w:t xml:space="preserve">  MINISTERIAL DUTY OF THE HEAD OF THE HUMAN RESOURCE </w:t>
      </w:r>
    </w:p>
    <w:p w14:paraId="4CC123EF" w14:textId="77777777" w:rsidR="00CB0F19" w:rsidRDefault="00CB0F19" w:rsidP="00CB0F19">
      <w:pPr>
        <w:pStyle w:val="ListParagraph"/>
        <w:ind w:left="1080"/>
        <w:jc w:val="both"/>
        <w:rPr>
          <w:b/>
          <w:color w:val="0070C0"/>
          <w:sz w:val="28"/>
          <w:szCs w:val="28"/>
        </w:rPr>
      </w:pPr>
      <w:r>
        <w:rPr>
          <w:b/>
          <w:color w:val="0070C0"/>
          <w:sz w:val="28"/>
          <w:szCs w:val="28"/>
        </w:rPr>
        <w:tab/>
      </w:r>
      <w:r>
        <w:rPr>
          <w:b/>
          <w:color w:val="0070C0"/>
          <w:sz w:val="28"/>
          <w:szCs w:val="28"/>
        </w:rPr>
        <w:tab/>
        <w:t xml:space="preserve">   MANAGEMENT SECTION TO ISSUE COMPLIANCE ORDER</w:t>
      </w:r>
    </w:p>
    <w:p w14:paraId="288C57D9" w14:textId="77777777" w:rsidR="00CB0F19" w:rsidRDefault="00CB0F19" w:rsidP="00CB0F19">
      <w:pPr>
        <w:pStyle w:val="ListParagraph"/>
        <w:ind w:left="1080"/>
        <w:jc w:val="both"/>
        <w:rPr>
          <w:b/>
          <w:color w:val="0070C0"/>
          <w:sz w:val="28"/>
          <w:szCs w:val="28"/>
        </w:rPr>
      </w:pPr>
    </w:p>
    <w:p w14:paraId="2B12F95F" w14:textId="77777777" w:rsidR="00CB0F19" w:rsidRDefault="00CB0F19" w:rsidP="00CB0F19">
      <w:pPr>
        <w:pStyle w:val="ListParagraph"/>
        <w:ind w:left="1080"/>
        <w:jc w:val="both"/>
        <w:rPr>
          <w:color w:val="000000" w:themeColor="text1"/>
          <w:sz w:val="28"/>
          <w:szCs w:val="28"/>
        </w:rPr>
      </w:pPr>
      <w:r>
        <w:rPr>
          <w:b/>
          <w:color w:val="0070C0"/>
          <w:sz w:val="28"/>
          <w:szCs w:val="28"/>
        </w:rPr>
        <w:tab/>
      </w:r>
      <w:r>
        <w:rPr>
          <w:b/>
          <w:color w:val="0070C0"/>
          <w:sz w:val="28"/>
          <w:szCs w:val="28"/>
        </w:rPr>
        <w:tab/>
      </w:r>
      <w:r>
        <w:rPr>
          <w:b/>
          <w:color w:val="0070C0"/>
          <w:sz w:val="28"/>
          <w:szCs w:val="28"/>
        </w:rPr>
        <w:tab/>
      </w:r>
      <w:r w:rsidRPr="002D0C1F">
        <w:rPr>
          <w:color w:val="000000" w:themeColor="text1"/>
          <w:sz w:val="28"/>
          <w:szCs w:val="28"/>
        </w:rPr>
        <w:t>Immediately upon receipt of the aforementioned</w:t>
      </w:r>
      <w:r>
        <w:rPr>
          <w:color w:val="000000" w:themeColor="text1"/>
          <w:sz w:val="28"/>
          <w:szCs w:val="28"/>
        </w:rPr>
        <w:t xml:space="preserve"> list and recommendation from the Chairperson of the SALN Review and Compliance Committee, it shall be the ministerial duty of the head the HRM section to issue order requiring those who have incomplete data in their SALN to correct/supply wrong/lacking information and those who did not file/submit their SALN to comply within a non-extendable period of three (3) days from the receipt of the said order.</w:t>
      </w:r>
    </w:p>
    <w:p w14:paraId="11F58DAD" w14:textId="77777777" w:rsidR="00CB0F19" w:rsidRDefault="00CB0F19" w:rsidP="00CB0F19">
      <w:pPr>
        <w:pStyle w:val="ListParagraph"/>
        <w:ind w:left="1080"/>
        <w:jc w:val="both"/>
        <w:rPr>
          <w:color w:val="0070C0"/>
          <w:sz w:val="28"/>
          <w:szCs w:val="28"/>
        </w:rPr>
      </w:pPr>
    </w:p>
    <w:p w14:paraId="1448E95C" w14:textId="77777777" w:rsidR="00CB0F19" w:rsidRDefault="00CB0F19" w:rsidP="00CB0F19">
      <w:pPr>
        <w:pStyle w:val="ListParagraph"/>
        <w:ind w:left="1080"/>
        <w:jc w:val="both"/>
        <w:rPr>
          <w:color w:val="000000" w:themeColor="text1"/>
          <w:sz w:val="28"/>
          <w:szCs w:val="28"/>
        </w:rPr>
      </w:pPr>
      <w:r>
        <w:rPr>
          <w:color w:val="0070C0"/>
          <w:sz w:val="28"/>
          <w:szCs w:val="28"/>
        </w:rPr>
        <w:tab/>
      </w:r>
      <w:r>
        <w:rPr>
          <w:color w:val="0070C0"/>
          <w:sz w:val="28"/>
          <w:szCs w:val="28"/>
        </w:rPr>
        <w:tab/>
      </w:r>
      <w:r w:rsidRPr="00325209">
        <w:rPr>
          <w:color w:val="000000" w:themeColor="text1"/>
          <w:sz w:val="28"/>
          <w:szCs w:val="28"/>
        </w:rPr>
        <w:tab/>
        <w:t>Assets and/or properties</w:t>
      </w:r>
      <w:r>
        <w:rPr>
          <w:color w:val="000000" w:themeColor="text1"/>
          <w:sz w:val="28"/>
          <w:szCs w:val="28"/>
        </w:rPr>
        <w:t xml:space="preserve"> acquired, donated or transferred for a particular year, but were not declared in their SALN for that year, as the same came to his/her knowledge only after he/she has filed, corrected and/or submitted his/her SALN, must be declared or reflected in the next or succeeding SALN.</w:t>
      </w:r>
    </w:p>
    <w:p w14:paraId="4C2D3B26" w14:textId="77777777" w:rsidR="00CB0F19" w:rsidRPr="007B6F64" w:rsidRDefault="00CB0F19" w:rsidP="00CB0F19">
      <w:pPr>
        <w:jc w:val="both"/>
        <w:rPr>
          <w:color w:val="0070C0"/>
          <w:sz w:val="28"/>
          <w:szCs w:val="28"/>
        </w:rPr>
      </w:pPr>
    </w:p>
    <w:p w14:paraId="7E42FAA4" w14:textId="77777777" w:rsidR="00CB0F19" w:rsidRDefault="00CB0F19" w:rsidP="00CB0F19">
      <w:pPr>
        <w:pStyle w:val="ListParagraph"/>
        <w:ind w:left="1080"/>
        <w:jc w:val="both"/>
        <w:rPr>
          <w:b/>
          <w:color w:val="0070C0"/>
          <w:sz w:val="28"/>
          <w:szCs w:val="28"/>
        </w:rPr>
      </w:pPr>
      <w:r w:rsidRPr="00972F89">
        <w:rPr>
          <w:b/>
          <w:color w:val="0070C0"/>
          <w:sz w:val="28"/>
          <w:szCs w:val="28"/>
        </w:rPr>
        <w:t xml:space="preserve">Section </w:t>
      </w:r>
      <w:r>
        <w:rPr>
          <w:b/>
          <w:color w:val="0070C0"/>
          <w:sz w:val="28"/>
          <w:szCs w:val="28"/>
        </w:rPr>
        <w:t>5</w:t>
      </w:r>
      <w:r w:rsidRPr="00972F89">
        <w:rPr>
          <w:b/>
          <w:color w:val="0070C0"/>
          <w:sz w:val="28"/>
          <w:szCs w:val="28"/>
        </w:rPr>
        <w:t>.</w:t>
      </w:r>
      <w:r>
        <w:rPr>
          <w:b/>
          <w:color w:val="0070C0"/>
          <w:sz w:val="28"/>
          <w:szCs w:val="28"/>
        </w:rPr>
        <w:t xml:space="preserve">  PROCEDURAL GUIDELINES</w:t>
      </w:r>
    </w:p>
    <w:p w14:paraId="6A965D9C" w14:textId="77777777" w:rsidR="00CB0F19" w:rsidRPr="00325209" w:rsidRDefault="00CB0F19" w:rsidP="00CB0F19">
      <w:pPr>
        <w:pStyle w:val="ListParagraph"/>
        <w:ind w:left="1080"/>
        <w:jc w:val="both"/>
        <w:rPr>
          <w:b/>
          <w:color w:val="000000" w:themeColor="text1"/>
          <w:sz w:val="28"/>
          <w:szCs w:val="28"/>
        </w:rPr>
      </w:pPr>
    </w:p>
    <w:p w14:paraId="25922994" w14:textId="77777777" w:rsidR="00CB0F19" w:rsidRPr="000D2576" w:rsidRDefault="00CB0F19" w:rsidP="00CB0F19">
      <w:pPr>
        <w:pStyle w:val="ListParagraph"/>
        <w:numPr>
          <w:ilvl w:val="0"/>
          <w:numId w:val="27"/>
        </w:numPr>
        <w:jc w:val="both"/>
        <w:rPr>
          <w:color w:val="FF0000"/>
          <w:sz w:val="28"/>
          <w:szCs w:val="28"/>
        </w:rPr>
      </w:pPr>
      <w:r w:rsidRPr="000D2576">
        <w:rPr>
          <w:b/>
          <w:color w:val="FF0000"/>
          <w:sz w:val="28"/>
          <w:szCs w:val="28"/>
        </w:rPr>
        <w:t xml:space="preserve"> </w:t>
      </w:r>
      <w:r w:rsidRPr="000D2576">
        <w:rPr>
          <w:color w:val="FF0000"/>
          <w:sz w:val="28"/>
          <w:szCs w:val="28"/>
        </w:rPr>
        <w:t>Step 1</w:t>
      </w:r>
    </w:p>
    <w:p w14:paraId="7351C890" w14:textId="77777777" w:rsidR="00CB0F19" w:rsidRDefault="00CB0F19" w:rsidP="00CB0F19">
      <w:pPr>
        <w:pStyle w:val="ListParagraph"/>
        <w:ind w:left="1800"/>
        <w:jc w:val="both"/>
        <w:rPr>
          <w:color w:val="000000" w:themeColor="text1"/>
          <w:sz w:val="28"/>
          <w:szCs w:val="28"/>
        </w:rPr>
      </w:pPr>
      <w:r>
        <w:rPr>
          <w:color w:val="000000" w:themeColor="text1"/>
          <w:sz w:val="28"/>
          <w:szCs w:val="28"/>
        </w:rPr>
        <w:tab/>
      </w:r>
      <w:r>
        <w:rPr>
          <w:color w:val="000000" w:themeColor="text1"/>
          <w:sz w:val="28"/>
          <w:szCs w:val="28"/>
        </w:rPr>
        <w:tab/>
        <w:t>The HRM section shall submit proper SALN forms to all officials and employees.  The respective section heads of each section shall be responsible for the dissemination of forms.</w:t>
      </w:r>
    </w:p>
    <w:p w14:paraId="23882630" w14:textId="77777777" w:rsidR="00CB0F19" w:rsidRPr="00325209" w:rsidRDefault="00CB0F19" w:rsidP="00CB0F19">
      <w:pPr>
        <w:pStyle w:val="ListParagraph"/>
        <w:ind w:left="1080"/>
        <w:jc w:val="both"/>
        <w:rPr>
          <w:b/>
          <w:color w:val="000000" w:themeColor="text1"/>
          <w:sz w:val="28"/>
          <w:szCs w:val="28"/>
        </w:rPr>
      </w:pPr>
    </w:p>
    <w:p w14:paraId="392DCC3D" w14:textId="77777777" w:rsidR="00CB0F19" w:rsidRPr="000D2576" w:rsidRDefault="00CB0F19" w:rsidP="00CB0F19">
      <w:pPr>
        <w:pStyle w:val="ListParagraph"/>
        <w:numPr>
          <w:ilvl w:val="0"/>
          <w:numId w:val="27"/>
        </w:numPr>
        <w:jc w:val="both"/>
        <w:rPr>
          <w:color w:val="FF0000"/>
          <w:sz w:val="28"/>
          <w:szCs w:val="28"/>
        </w:rPr>
      </w:pPr>
      <w:r w:rsidRPr="000D2576">
        <w:rPr>
          <w:b/>
          <w:color w:val="FF0000"/>
          <w:sz w:val="28"/>
          <w:szCs w:val="28"/>
        </w:rPr>
        <w:t xml:space="preserve"> </w:t>
      </w:r>
      <w:r w:rsidRPr="000D2576">
        <w:rPr>
          <w:color w:val="FF0000"/>
          <w:sz w:val="28"/>
          <w:szCs w:val="28"/>
        </w:rPr>
        <w:t>Step 2</w:t>
      </w:r>
    </w:p>
    <w:p w14:paraId="2D0120F8" w14:textId="1B9B434A" w:rsidR="00CB0F19" w:rsidRDefault="00CB0F19" w:rsidP="00CB0F19">
      <w:pPr>
        <w:pStyle w:val="ListParagraph"/>
        <w:ind w:left="1800"/>
        <w:jc w:val="both"/>
        <w:rPr>
          <w:color w:val="000000" w:themeColor="text1"/>
          <w:sz w:val="28"/>
          <w:szCs w:val="28"/>
        </w:rPr>
      </w:pPr>
      <w:r>
        <w:rPr>
          <w:color w:val="000000" w:themeColor="text1"/>
          <w:sz w:val="28"/>
          <w:szCs w:val="28"/>
        </w:rPr>
        <w:tab/>
      </w:r>
      <w:r>
        <w:rPr>
          <w:color w:val="000000" w:themeColor="text1"/>
          <w:sz w:val="28"/>
          <w:szCs w:val="28"/>
        </w:rPr>
        <w:tab/>
        <w:t>All accomplished SALN forms shall be forwarded/submitted to the HRM section.</w:t>
      </w:r>
    </w:p>
    <w:p w14:paraId="1F5A97A6" w14:textId="77777777" w:rsidR="00CB0F19" w:rsidRPr="000D2576" w:rsidRDefault="00CB0F19" w:rsidP="00CB0F19">
      <w:pPr>
        <w:pStyle w:val="ListParagraph"/>
        <w:ind w:left="1800"/>
        <w:jc w:val="both"/>
        <w:rPr>
          <w:color w:val="FF0000"/>
          <w:sz w:val="28"/>
          <w:szCs w:val="28"/>
        </w:rPr>
      </w:pPr>
    </w:p>
    <w:p w14:paraId="71786EB4" w14:textId="77777777" w:rsidR="00CB0F19" w:rsidRPr="000D2576" w:rsidRDefault="00CB0F19" w:rsidP="00CB0F19">
      <w:pPr>
        <w:pStyle w:val="ListParagraph"/>
        <w:numPr>
          <w:ilvl w:val="0"/>
          <w:numId w:val="27"/>
        </w:numPr>
        <w:jc w:val="both"/>
        <w:rPr>
          <w:color w:val="FF0000"/>
          <w:sz w:val="28"/>
          <w:szCs w:val="28"/>
        </w:rPr>
      </w:pPr>
      <w:r w:rsidRPr="000D2576">
        <w:rPr>
          <w:color w:val="FF0000"/>
          <w:sz w:val="28"/>
          <w:szCs w:val="28"/>
        </w:rPr>
        <w:t xml:space="preserve"> Step 3</w:t>
      </w:r>
    </w:p>
    <w:p w14:paraId="343BE075" w14:textId="77777777" w:rsidR="00CB0F19" w:rsidRDefault="00CB0F19" w:rsidP="00CB0F19">
      <w:pPr>
        <w:pStyle w:val="ListParagraph"/>
        <w:ind w:left="1800"/>
        <w:jc w:val="both"/>
        <w:rPr>
          <w:color w:val="000000" w:themeColor="text1"/>
          <w:sz w:val="28"/>
          <w:szCs w:val="28"/>
        </w:rPr>
      </w:pPr>
      <w:r>
        <w:rPr>
          <w:color w:val="000000" w:themeColor="text1"/>
          <w:sz w:val="28"/>
          <w:szCs w:val="28"/>
        </w:rPr>
        <w:tab/>
      </w:r>
      <w:r>
        <w:rPr>
          <w:color w:val="000000" w:themeColor="text1"/>
          <w:sz w:val="28"/>
          <w:szCs w:val="28"/>
        </w:rPr>
        <w:tab/>
        <w:t>All received SALN forms shall be reviewed and evaluated by the SALN Review and Compliance Committee.</w:t>
      </w:r>
    </w:p>
    <w:p w14:paraId="781EC616" w14:textId="77777777" w:rsidR="00CB0F19" w:rsidRDefault="00CB0F19" w:rsidP="00CB0F19">
      <w:pPr>
        <w:pStyle w:val="ListParagraph"/>
        <w:ind w:left="1800"/>
        <w:jc w:val="both"/>
        <w:rPr>
          <w:color w:val="000000" w:themeColor="text1"/>
          <w:sz w:val="28"/>
          <w:szCs w:val="28"/>
        </w:rPr>
      </w:pPr>
    </w:p>
    <w:p w14:paraId="4FA2352C" w14:textId="77777777" w:rsidR="00CB0F19" w:rsidRPr="000D2576" w:rsidRDefault="00CB0F19" w:rsidP="00CB0F19">
      <w:pPr>
        <w:pStyle w:val="ListParagraph"/>
        <w:numPr>
          <w:ilvl w:val="0"/>
          <w:numId w:val="27"/>
        </w:numPr>
        <w:jc w:val="both"/>
        <w:rPr>
          <w:color w:val="FF0000"/>
          <w:sz w:val="28"/>
          <w:szCs w:val="28"/>
        </w:rPr>
      </w:pPr>
      <w:r w:rsidRPr="000D2576">
        <w:rPr>
          <w:color w:val="FF0000"/>
          <w:sz w:val="28"/>
          <w:szCs w:val="28"/>
        </w:rPr>
        <w:t xml:space="preserve"> Step 4 </w:t>
      </w:r>
    </w:p>
    <w:p w14:paraId="1CDECA81" w14:textId="77777777" w:rsidR="00CB0F19" w:rsidRDefault="00CB0F19" w:rsidP="00CB0F19">
      <w:pPr>
        <w:pStyle w:val="ListParagraph"/>
        <w:ind w:left="1800"/>
        <w:jc w:val="both"/>
        <w:rPr>
          <w:color w:val="000000" w:themeColor="text1"/>
          <w:sz w:val="28"/>
          <w:szCs w:val="28"/>
        </w:rPr>
      </w:pPr>
      <w:r>
        <w:rPr>
          <w:color w:val="000000" w:themeColor="text1"/>
          <w:sz w:val="28"/>
          <w:szCs w:val="28"/>
        </w:rPr>
        <w:lastRenderedPageBreak/>
        <w:tab/>
      </w:r>
      <w:r>
        <w:rPr>
          <w:color w:val="000000" w:themeColor="text1"/>
          <w:sz w:val="28"/>
          <w:szCs w:val="28"/>
        </w:rPr>
        <w:tab/>
        <w:t>The SALN Review and Compliance Committee shall submit a list of employees in alphabetical order who   filed their SALN with incomplete data; filed their SALNs with complete data/information; and did not file SALN.</w:t>
      </w:r>
    </w:p>
    <w:p w14:paraId="2A0B7175" w14:textId="77777777" w:rsidR="00CB0F19" w:rsidRDefault="00CB0F19" w:rsidP="00CB0F19">
      <w:pPr>
        <w:pStyle w:val="ListParagraph"/>
        <w:ind w:left="1800"/>
        <w:jc w:val="both"/>
        <w:rPr>
          <w:color w:val="000000" w:themeColor="text1"/>
          <w:sz w:val="28"/>
          <w:szCs w:val="28"/>
        </w:rPr>
      </w:pPr>
    </w:p>
    <w:p w14:paraId="140C70FF" w14:textId="77777777" w:rsidR="00CB0F19" w:rsidRPr="000D2576" w:rsidRDefault="00CB0F19" w:rsidP="00CB0F19">
      <w:pPr>
        <w:pStyle w:val="ListParagraph"/>
        <w:numPr>
          <w:ilvl w:val="0"/>
          <w:numId w:val="27"/>
        </w:numPr>
        <w:jc w:val="both"/>
        <w:rPr>
          <w:color w:val="FF0000"/>
          <w:sz w:val="28"/>
          <w:szCs w:val="28"/>
        </w:rPr>
      </w:pPr>
      <w:r w:rsidRPr="000D2576">
        <w:rPr>
          <w:color w:val="FF0000"/>
          <w:sz w:val="28"/>
          <w:szCs w:val="28"/>
        </w:rPr>
        <w:t xml:space="preserve"> Step 5</w:t>
      </w:r>
    </w:p>
    <w:p w14:paraId="3C5791CC" w14:textId="77777777" w:rsidR="00CB0F19" w:rsidRDefault="00CB0F19" w:rsidP="00CB0F19">
      <w:pPr>
        <w:pStyle w:val="ListParagraph"/>
        <w:ind w:left="1800"/>
        <w:jc w:val="both"/>
        <w:rPr>
          <w:color w:val="000000" w:themeColor="text1"/>
          <w:sz w:val="28"/>
          <w:szCs w:val="28"/>
        </w:rPr>
      </w:pPr>
      <w:r>
        <w:rPr>
          <w:color w:val="000000" w:themeColor="text1"/>
          <w:sz w:val="28"/>
          <w:szCs w:val="28"/>
        </w:rPr>
        <w:tab/>
      </w:r>
      <w:r>
        <w:rPr>
          <w:color w:val="000000" w:themeColor="text1"/>
          <w:sz w:val="28"/>
          <w:szCs w:val="28"/>
        </w:rPr>
        <w:tab/>
        <w:t>Immediately upon receipt of the list, the HRM head shall issue an order requiring those who have incomplete data in their SALN to correctly/supply the desired information and those who did not file/submit their SALN to comply within a non-extendable period of three (3) days upon receipt of the said order.</w:t>
      </w:r>
    </w:p>
    <w:p w14:paraId="06810A91" w14:textId="77777777" w:rsidR="00CB0F19" w:rsidRDefault="00CB0F19" w:rsidP="00CB0F19">
      <w:pPr>
        <w:pStyle w:val="ListParagraph"/>
        <w:ind w:left="1800"/>
        <w:jc w:val="both"/>
        <w:rPr>
          <w:color w:val="000000" w:themeColor="text1"/>
          <w:sz w:val="28"/>
          <w:szCs w:val="28"/>
        </w:rPr>
      </w:pPr>
    </w:p>
    <w:p w14:paraId="1F7F0CC8" w14:textId="77777777" w:rsidR="00CB0F19" w:rsidRPr="000D2576" w:rsidRDefault="00CB0F19" w:rsidP="00CB0F19">
      <w:pPr>
        <w:pStyle w:val="ListParagraph"/>
        <w:numPr>
          <w:ilvl w:val="0"/>
          <w:numId w:val="27"/>
        </w:numPr>
        <w:jc w:val="both"/>
        <w:rPr>
          <w:color w:val="FF0000"/>
          <w:sz w:val="28"/>
          <w:szCs w:val="28"/>
        </w:rPr>
      </w:pPr>
      <w:r w:rsidRPr="000D2576">
        <w:rPr>
          <w:color w:val="FF0000"/>
          <w:sz w:val="28"/>
          <w:szCs w:val="28"/>
        </w:rPr>
        <w:t xml:space="preserve"> Step 6</w:t>
      </w:r>
    </w:p>
    <w:p w14:paraId="681A1FA8" w14:textId="77777777" w:rsidR="00CB0F19" w:rsidRPr="00917563" w:rsidRDefault="00CB0F19" w:rsidP="00CB0F19">
      <w:pPr>
        <w:pStyle w:val="ListParagraph"/>
        <w:ind w:left="1800"/>
        <w:jc w:val="both"/>
        <w:rPr>
          <w:color w:val="000000" w:themeColor="text1"/>
          <w:sz w:val="28"/>
          <w:szCs w:val="28"/>
        </w:rPr>
      </w:pPr>
      <w:r>
        <w:rPr>
          <w:color w:val="000000" w:themeColor="text1"/>
          <w:sz w:val="28"/>
          <w:szCs w:val="28"/>
        </w:rPr>
        <w:tab/>
      </w:r>
      <w:r>
        <w:rPr>
          <w:color w:val="000000" w:themeColor="text1"/>
          <w:sz w:val="28"/>
          <w:szCs w:val="28"/>
        </w:rPr>
        <w:tab/>
        <w:t xml:space="preserve">The SALN Review and Compliance Committee shall submit to the concerned agencies the original SALN of employees as a manner required by the regulatory agencies.  </w:t>
      </w:r>
      <w:r>
        <w:rPr>
          <w:color w:val="000000" w:themeColor="text1"/>
          <w:sz w:val="28"/>
          <w:szCs w:val="28"/>
        </w:rPr>
        <w:tab/>
      </w:r>
      <w:r>
        <w:rPr>
          <w:color w:val="000000" w:themeColor="text1"/>
          <w:sz w:val="28"/>
          <w:szCs w:val="28"/>
        </w:rPr>
        <w:tab/>
      </w:r>
    </w:p>
    <w:p w14:paraId="4D3D696A" w14:textId="77777777" w:rsidR="00CB0F19" w:rsidRDefault="00CB0F19" w:rsidP="00CB0F19">
      <w:pPr>
        <w:pStyle w:val="ListParagraph"/>
        <w:ind w:left="1800"/>
        <w:jc w:val="both"/>
        <w:rPr>
          <w:color w:val="000000" w:themeColor="text1"/>
          <w:sz w:val="28"/>
          <w:szCs w:val="28"/>
        </w:rPr>
      </w:pPr>
    </w:p>
    <w:p w14:paraId="4801EB3D" w14:textId="77777777" w:rsidR="00CB0F19" w:rsidRDefault="00CB0F19" w:rsidP="00CB0F19">
      <w:pPr>
        <w:pStyle w:val="NoSpacing"/>
        <w:jc w:val="both"/>
        <w:rPr>
          <w:b/>
          <w:color w:val="C00000"/>
          <w:sz w:val="28"/>
          <w:szCs w:val="28"/>
        </w:rPr>
      </w:pPr>
      <w:r w:rsidRPr="00972F89">
        <w:rPr>
          <w:b/>
          <w:color w:val="C00000"/>
          <w:sz w:val="28"/>
          <w:szCs w:val="28"/>
        </w:rPr>
        <w:t>S</w:t>
      </w:r>
      <w:r>
        <w:rPr>
          <w:b/>
          <w:color w:val="C00000"/>
          <w:sz w:val="28"/>
          <w:szCs w:val="28"/>
        </w:rPr>
        <w:t>ANCTIONS</w:t>
      </w:r>
      <w:r w:rsidRPr="00972F89">
        <w:rPr>
          <w:b/>
          <w:color w:val="C00000"/>
          <w:sz w:val="28"/>
          <w:szCs w:val="28"/>
        </w:rPr>
        <w:t>:</w:t>
      </w:r>
    </w:p>
    <w:p w14:paraId="0CAA53F0" w14:textId="77777777" w:rsidR="00CB0F19" w:rsidRDefault="00CB0F19" w:rsidP="00CB0F19">
      <w:pPr>
        <w:pStyle w:val="NoSpacing"/>
        <w:jc w:val="both"/>
        <w:rPr>
          <w:b/>
          <w:color w:val="C00000"/>
          <w:sz w:val="28"/>
          <w:szCs w:val="28"/>
        </w:rPr>
      </w:pPr>
    </w:p>
    <w:p w14:paraId="7D62CA51" w14:textId="77777777" w:rsidR="00CB0F19" w:rsidRDefault="00CB0F19" w:rsidP="00CB0F19">
      <w:pPr>
        <w:pStyle w:val="NoSpacing"/>
        <w:jc w:val="both"/>
        <w:rPr>
          <w:color w:val="000000" w:themeColor="text1"/>
          <w:sz w:val="28"/>
          <w:szCs w:val="28"/>
        </w:rPr>
      </w:pPr>
      <w:r>
        <w:rPr>
          <w:b/>
          <w:color w:val="C00000"/>
          <w:sz w:val="28"/>
          <w:szCs w:val="28"/>
        </w:rPr>
        <w:tab/>
      </w:r>
      <w:r w:rsidRPr="004121A7">
        <w:rPr>
          <w:color w:val="000000" w:themeColor="text1"/>
          <w:sz w:val="28"/>
          <w:szCs w:val="28"/>
        </w:rPr>
        <w:t>Failure to correct/submit SALN</w:t>
      </w:r>
      <w:r>
        <w:rPr>
          <w:color w:val="000000" w:themeColor="text1"/>
          <w:sz w:val="28"/>
          <w:szCs w:val="28"/>
        </w:rPr>
        <w:t>s</w:t>
      </w:r>
      <w:r w:rsidRPr="004121A7">
        <w:rPr>
          <w:color w:val="000000" w:themeColor="text1"/>
          <w:sz w:val="28"/>
          <w:szCs w:val="28"/>
        </w:rPr>
        <w:t xml:space="preserve"> in accordance with the procedure</w:t>
      </w:r>
      <w:r>
        <w:rPr>
          <w:color w:val="000000" w:themeColor="text1"/>
          <w:sz w:val="28"/>
          <w:szCs w:val="28"/>
        </w:rPr>
        <w:t xml:space="preserve"> and within the given period shall be ground for disciplinary action.  The chairperson of the committee thru the Human Resource Management Officer shall issue a show-cause order directing the official or employee concerned to submit his/her comment or </w:t>
      </w:r>
    </w:p>
    <w:p w14:paraId="51F8851A" w14:textId="77777777" w:rsidR="00CB0F19" w:rsidRDefault="00CB0F19" w:rsidP="00CB0F19">
      <w:pPr>
        <w:pStyle w:val="NoSpacing"/>
        <w:jc w:val="both"/>
        <w:rPr>
          <w:color w:val="000000" w:themeColor="text1"/>
          <w:sz w:val="28"/>
          <w:szCs w:val="28"/>
        </w:rPr>
      </w:pPr>
      <w:r>
        <w:rPr>
          <w:color w:val="000000" w:themeColor="text1"/>
          <w:sz w:val="28"/>
          <w:szCs w:val="28"/>
        </w:rPr>
        <w:t>counter-affidavit; and if evidence warrants, proceed with the conduct of the administrative proceedings pursuant to the 2017 Rules on Administrative Cases in the Civil Service (RACCS).  The offense of failure to file SALN shall be:</w:t>
      </w:r>
    </w:p>
    <w:p w14:paraId="46172411" w14:textId="77777777" w:rsidR="00CB0F19" w:rsidRDefault="00CB0F19" w:rsidP="00CB0F19">
      <w:pPr>
        <w:pStyle w:val="NoSpacing"/>
        <w:jc w:val="both"/>
        <w:rPr>
          <w:color w:val="000000" w:themeColor="text1"/>
          <w:sz w:val="28"/>
          <w:szCs w:val="28"/>
        </w:rPr>
      </w:pPr>
    </w:p>
    <w:p w14:paraId="00CF700E" w14:textId="77777777" w:rsidR="00CB0F19" w:rsidRDefault="00CB0F19" w:rsidP="00CB0F19">
      <w:pPr>
        <w:pStyle w:val="NoSpacing"/>
        <w:jc w:val="both"/>
        <w:rPr>
          <w:color w:val="000000" w:themeColor="text1"/>
          <w:sz w:val="28"/>
          <w:szCs w:val="28"/>
        </w:rPr>
      </w:pPr>
    </w:p>
    <w:p w14:paraId="310A6E54" w14:textId="77777777" w:rsidR="00CB0F19" w:rsidRDefault="00CB0F19" w:rsidP="00CB0F19">
      <w:pPr>
        <w:pStyle w:val="NoSpacing"/>
        <w:jc w:val="both"/>
        <w:rPr>
          <w:color w:val="000000" w:themeColor="text1"/>
          <w:sz w:val="28"/>
          <w:szCs w:val="28"/>
        </w:rPr>
      </w:pPr>
    </w:p>
    <w:p w14:paraId="78374A8E" w14:textId="77777777" w:rsidR="00CB0F19" w:rsidRDefault="00CB0F19" w:rsidP="00CB0F19">
      <w:pPr>
        <w:pStyle w:val="NoSpacing"/>
        <w:jc w:val="both"/>
        <w:rPr>
          <w:color w:val="000000" w:themeColor="text1"/>
          <w:sz w:val="28"/>
          <w:szCs w:val="28"/>
        </w:rPr>
      </w:pPr>
      <w:r>
        <w:rPr>
          <w:color w:val="000000" w:themeColor="text1"/>
          <w:sz w:val="28"/>
          <w:szCs w:val="28"/>
        </w:rPr>
        <w:tab/>
        <w:t>1</w:t>
      </w:r>
      <w:r w:rsidRPr="009703CF">
        <w:rPr>
          <w:color w:val="000000" w:themeColor="text1"/>
          <w:sz w:val="28"/>
          <w:szCs w:val="28"/>
          <w:vertAlign w:val="superscript"/>
        </w:rPr>
        <w:t>st</w:t>
      </w:r>
      <w:r>
        <w:rPr>
          <w:color w:val="000000" w:themeColor="text1"/>
          <w:sz w:val="28"/>
          <w:szCs w:val="28"/>
        </w:rPr>
        <w:t xml:space="preserve"> Offense – suspension for one (1) month and one (1) day to six (6) months</w:t>
      </w:r>
    </w:p>
    <w:p w14:paraId="7C341E35" w14:textId="77777777" w:rsidR="00CB0F19" w:rsidRDefault="00CB0F19" w:rsidP="00CB0F19">
      <w:pPr>
        <w:pStyle w:val="NoSpacing"/>
        <w:jc w:val="both"/>
        <w:rPr>
          <w:color w:val="000000" w:themeColor="text1"/>
          <w:sz w:val="28"/>
          <w:szCs w:val="28"/>
        </w:rPr>
      </w:pPr>
    </w:p>
    <w:p w14:paraId="7677E025" w14:textId="77777777" w:rsidR="00CB0F19" w:rsidRDefault="00CB0F19" w:rsidP="00CB0F19">
      <w:pPr>
        <w:pStyle w:val="NoSpacing"/>
        <w:jc w:val="both"/>
        <w:rPr>
          <w:color w:val="000000" w:themeColor="text1"/>
          <w:sz w:val="28"/>
          <w:szCs w:val="28"/>
        </w:rPr>
      </w:pPr>
      <w:r>
        <w:rPr>
          <w:color w:val="000000" w:themeColor="text1"/>
          <w:sz w:val="28"/>
          <w:szCs w:val="28"/>
        </w:rPr>
        <w:tab/>
        <w:t>2</w:t>
      </w:r>
      <w:r w:rsidRPr="009703CF">
        <w:rPr>
          <w:color w:val="000000" w:themeColor="text1"/>
          <w:sz w:val="28"/>
          <w:szCs w:val="28"/>
          <w:vertAlign w:val="superscript"/>
        </w:rPr>
        <w:t>nd</w:t>
      </w:r>
      <w:r>
        <w:rPr>
          <w:color w:val="000000" w:themeColor="text1"/>
          <w:sz w:val="28"/>
          <w:szCs w:val="28"/>
        </w:rPr>
        <w:t xml:space="preserve"> Offense – dismissal from the service</w:t>
      </w:r>
    </w:p>
    <w:p w14:paraId="6FDEE63F" w14:textId="77777777" w:rsidR="00CB0F19" w:rsidRDefault="00CB0F19" w:rsidP="00CB0F19">
      <w:pPr>
        <w:pStyle w:val="NoSpacing"/>
        <w:jc w:val="both"/>
        <w:rPr>
          <w:b/>
          <w:color w:val="FF0000"/>
          <w:sz w:val="28"/>
          <w:szCs w:val="28"/>
        </w:rPr>
      </w:pPr>
    </w:p>
    <w:p w14:paraId="5533F400" w14:textId="77777777" w:rsidR="00CB0F19" w:rsidRPr="009703CF" w:rsidRDefault="00CB0F19" w:rsidP="00CB0F19">
      <w:pPr>
        <w:pStyle w:val="NoSpacing"/>
        <w:jc w:val="both"/>
        <w:rPr>
          <w:b/>
          <w:color w:val="FF0000"/>
          <w:sz w:val="28"/>
          <w:szCs w:val="28"/>
        </w:rPr>
      </w:pPr>
    </w:p>
    <w:p w14:paraId="45247A3E" w14:textId="77777777" w:rsidR="00CB0F19" w:rsidRDefault="00CB0F19" w:rsidP="00CB0F19">
      <w:pPr>
        <w:pStyle w:val="NoSpacing"/>
        <w:jc w:val="both"/>
        <w:rPr>
          <w:b/>
          <w:color w:val="FF0000"/>
          <w:sz w:val="28"/>
          <w:szCs w:val="28"/>
        </w:rPr>
      </w:pPr>
      <w:r w:rsidRPr="009703CF">
        <w:rPr>
          <w:b/>
          <w:color w:val="FF0000"/>
          <w:sz w:val="28"/>
          <w:szCs w:val="28"/>
        </w:rPr>
        <w:lastRenderedPageBreak/>
        <w:t>TRANSMITTAL OF ALL SUBMITTED SALN TO THE CONCERNED AGENCIES ON OR BEFORE APRIL 30 OF EV</w:t>
      </w:r>
      <w:r>
        <w:rPr>
          <w:b/>
          <w:color w:val="FF0000"/>
          <w:sz w:val="28"/>
          <w:szCs w:val="28"/>
        </w:rPr>
        <w:t>E</w:t>
      </w:r>
      <w:r w:rsidRPr="009703CF">
        <w:rPr>
          <w:b/>
          <w:color w:val="FF0000"/>
          <w:sz w:val="28"/>
          <w:szCs w:val="28"/>
        </w:rPr>
        <w:t>RY YEAR</w:t>
      </w:r>
    </w:p>
    <w:p w14:paraId="237278FD" w14:textId="77777777" w:rsidR="00CB0F19" w:rsidRDefault="00CB0F19" w:rsidP="00CB0F19">
      <w:pPr>
        <w:pStyle w:val="NoSpacing"/>
        <w:jc w:val="both"/>
        <w:rPr>
          <w:b/>
          <w:color w:val="FF0000"/>
          <w:sz w:val="28"/>
          <w:szCs w:val="28"/>
        </w:rPr>
      </w:pPr>
    </w:p>
    <w:p w14:paraId="79983AED" w14:textId="77777777" w:rsidR="00CB0F19" w:rsidRDefault="00CB0F19" w:rsidP="00CB0F19">
      <w:pPr>
        <w:pStyle w:val="NoSpacing"/>
        <w:jc w:val="both"/>
        <w:rPr>
          <w:color w:val="000000" w:themeColor="text1"/>
          <w:sz w:val="28"/>
          <w:szCs w:val="28"/>
        </w:rPr>
      </w:pPr>
      <w:r>
        <w:rPr>
          <w:color w:val="000000" w:themeColor="text1"/>
          <w:sz w:val="28"/>
          <w:szCs w:val="28"/>
        </w:rPr>
        <w:tab/>
        <w:t>The SALN Review and Compliance Committee together with the Human Resource Management Section shall transmit all original copies of SALN, including electronic copies, to the concerned offices on or before April 30 of every year.</w:t>
      </w:r>
    </w:p>
    <w:p w14:paraId="60199F11" w14:textId="77777777" w:rsidR="00CB0F19" w:rsidRDefault="00CB0F19" w:rsidP="00CB0F19">
      <w:pPr>
        <w:pStyle w:val="NoSpacing"/>
        <w:jc w:val="both"/>
        <w:rPr>
          <w:color w:val="000000" w:themeColor="text1"/>
          <w:sz w:val="28"/>
          <w:szCs w:val="28"/>
        </w:rPr>
      </w:pPr>
    </w:p>
    <w:p w14:paraId="51F82A83" w14:textId="77777777" w:rsidR="00CB0F19" w:rsidRDefault="00CB0F19" w:rsidP="00CB0F19">
      <w:pPr>
        <w:pStyle w:val="NoSpacing"/>
        <w:jc w:val="both"/>
        <w:rPr>
          <w:color w:val="000000" w:themeColor="text1"/>
          <w:sz w:val="28"/>
          <w:szCs w:val="28"/>
        </w:rPr>
      </w:pPr>
    </w:p>
    <w:p w14:paraId="3883CD8A" w14:textId="77777777" w:rsidR="00CB0F19" w:rsidRDefault="00CB0F19" w:rsidP="00CB0F19">
      <w:pPr>
        <w:pStyle w:val="NoSpacing"/>
        <w:jc w:val="both"/>
        <w:rPr>
          <w:b/>
          <w:color w:val="FF0000"/>
          <w:sz w:val="28"/>
          <w:szCs w:val="28"/>
        </w:rPr>
      </w:pPr>
      <w:r w:rsidRPr="005A6AB0">
        <w:rPr>
          <w:b/>
          <w:color w:val="FF0000"/>
          <w:sz w:val="28"/>
          <w:szCs w:val="28"/>
        </w:rPr>
        <w:t>SEPARABILITY CLAUSE</w:t>
      </w:r>
    </w:p>
    <w:p w14:paraId="3370FAD4" w14:textId="77777777" w:rsidR="00CB0F19" w:rsidRPr="005A6AB0" w:rsidRDefault="00CB0F19" w:rsidP="00CB0F19">
      <w:pPr>
        <w:pStyle w:val="NoSpacing"/>
        <w:jc w:val="both"/>
        <w:rPr>
          <w:color w:val="000000" w:themeColor="text1"/>
          <w:sz w:val="28"/>
          <w:szCs w:val="28"/>
        </w:rPr>
      </w:pPr>
    </w:p>
    <w:p w14:paraId="10536CBD" w14:textId="77777777" w:rsidR="00CB0F19" w:rsidRDefault="00CB0F19" w:rsidP="00CB0F19">
      <w:pPr>
        <w:pStyle w:val="NoSpacing"/>
        <w:jc w:val="both"/>
        <w:rPr>
          <w:color w:val="000000" w:themeColor="text1"/>
          <w:sz w:val="28"/>
          <w:szCs w:val="28"/>
        </w:rPr>
      </w:pPr>
      <w:r w:rsidRPr="005A6AB0">
        <w:rPr>
          <w:color w:val="000000" w:themeColor="text1"/>
          <w:sz w:val="28"/>
          <w:szCs w:val="28"/>
        </w:rPr>
        <w:tab/>
        <w:t xml:space="preserve">Unless </w:t>
      </w:r>
      <w:r>
        <w:rPr>
          <w:color w:val="000000" w:themeColor="text1"/>
          <w:sz w:val="28"/>
          <w:szCs w:val="28"/>
        </w:rPr>
        <w:t>expressly repealed or superseded, any part of provision in this Guidelines which is rendered invalid, ineffective, or inconsistent with a subsequent issuance/s, other provisions not affected thereby shall remain in force and effect.</w:t>
      </w:r>
    </w:p>
    <w:p w14:paraId="6B7F3A57" w14:textId="77777777" w:rsidR="00CB0F19" w:rsidRDefault="00CB0F19" w:rsidP="00CB0F19">
      <w:pPr>
        <w:pStyle w:val="NoSpacing"/>
        <w:jc w:val="both"/>
        <w:rPr>
          <w:b/>
          <w:color w:val="FF0000"/>
          <w:sz w:val="28"/>
          <w:szCs w:val="28"/>
        </w:rPr>
      </w:pPr>
    </w:p>
    <w:p w14:paraId="0AEE17D7" w14:textId="77777777" w:rsidR="00CB0F19" w:rsidRDefault="00CB0F19" w:rsidP="00CB0F19">
      <w:pPr>
        <w:pStyle w:val="NoSpacing"/>
        <w:jc w:val="both"/>
        <w:rPr>
          <w:b/>
          <w:color w:val="FF0000"/>
          <w:sz w:val="28"/>
          <w:szCs w:val="28"/>
        </w:rPr>
      </w:pPr>
    </w:p>
    <w:p w14:paraId="6B154CDF" w14:textId="77777777" w:rsidR="00CB0F19" w:rsidRDefault="00CB0F19" w:rsidP="00CB0F19">
      <w:pPr>
        <w:pStyle w:val="NoSpacing"/>
        <w:jc w:val="both"/>
        <w:rPr>
          <w:b/>
          <w:color w:val="FF0000"/>
          <w:sz w:val="28"/>
          <w:szCs w:val="28"/>
        </w:rPr>
      </w:pPr>
      <w:r w:rsidRPr="005A6AB0">
        <w:rPr>
          <w:b/>
          <w:color w:val="FF0000"/>
          <w:sz w:val="28"/>
          <w:szCs w:val="28"/>
        </w:rPr>
        <w:t>EFFECTIVITY</w:t>
      </w:r>
    </w:p>
    <w:p w14:paraId="2B3308F0" w14:textId="77777777" w:rsidR="00CB0F19" w:rsidRDefault="00CB0F19" w:rsidP="00CB0F19">
      <w:pPr>
        <w:pStyle w:val="NoSpacing"/>
        <w:jc w:val="both"/>
        <w:rPr>
          <w:b/>
          <w:color w:val="FF0000"/>
          <w:sz w:val="28"/>
          <w:szCs w:val="28"/>
        </w:rPr>
      </w:pPr>
    </w:p>
    <w:p w14:paraId="5FEAB7D3" w14:textId="77777777" w:rsidR="00CB0F19" w:rsidRDefault="00CB0F19" w:rsidP="00CB0F19">
      <w:pPr>
        <w:pStyle w:val="NoSpacing"/>
        <w:jc w:val="both"/>
        <w:rPr>
          <w:color w:val="000000" w:themeColor="text1"/>
          <w:sz w:val="28"/>
          <w:szCs w:val="28"/>
        </w:rPr>
      </w:pPr>
      <w:r w:rsidRPr="005A6AB0">
        <w:rPr>
          <w:color w:val="000000" w:themeColor="text1"/>
          <w:sz w:val="28"/>
          <w:szCs w:val="28"/>
        </w:rPr>
        <w:tab/>
        <w:t>Th</w:t>
      </w:r>
      <w:r>
        <w:rPr>
          <w:color w:val="000000" w:themeColor="text1"/>
          <w:sz w:val="28"/>
          <w:szCs w:val="28"/>
        </w:rPr>
        <w:t>e</w:t>
      </w:r>
      <w:r w:rsidRPr="005A6AB0">
        <w:rPr>
          <w:color w:val="000000" w:themeColor="text1"/>
          <w:sz w:val="28"/>
          <w:szCs w:val="28"/>
        </w:rPr>
        <w:t>s</w:t>
      </w:r>
      <w:r>
        <w:rPr>
          <w:color w:val="000000" w:themeColor="text1"/>
          <w:sz w:val="28"/>
          <w:szCs w:val="28"/>
        </w:rPr>
        <w:t>e</w:t>
      </w:r>
      <w:r w:rsidRPr="005A6AB0">
        <w:rPr>
          <w:color w:val="000000" w:themeColor="text1"/>
          <w:sz w:val="28"/>
          <w:szCs w:val="28"/>
        </w:rPr>
        <w:t xml:space="preserve"> guidelines</w:t>
      </w:r>
      <w:r>
        <w:rPr>
          <w:color w:val="000000" w:themeColor="text1"/>
          <w:sz w:val="28"/>
          <w:szCs w:val="28"/>
        </w:rPr>
        <w:t xml:space="preserve"> shall take effect immediately and shall remain in force unless revoked, cancelled or superseded by a subsequent issuance.</w:t>
      </w:r>
    </w:p>
    <w:p w14:paraId="4A9B1549" w14:textId="77777777" w:rsidR="00CB0F19" w:rsidRDefault="00CB0F19" w:rsidP="00CB0F19">
      <w:pPr>
        <w:pStyle w:val="NoSpacing"/>
        <w:jc w:val="both"/>
        <w:rPr>
          <w:color w:val="000000" w:themeColor="text1"/>
          <w:sz w:val="28"/>
          <w:szCs w:val="28"/>
        </w:rPr>
      </w:pPr>
    </w:p>
    <w:p w14:paraId="3A8C601F" w14:textId="77777777" w:rsidR="00CB0F19" w:rsidRDefault="00CB0F19" w:rsidP="00CB0F19">
      <w:pPr>
        <w:pStyle w:val="NoSpacing"/>
        <w:jc w:val="both"/>
        <w:rPr>
          <w:color w:val="000000" w:themeColor="text1"/>
          <w:sz w:val="28"/>
          <w:szCs w:val="28"/>
        </w:rPr>
      </w:pPr>
    </w:p>
    <w:p w14:paraId="36504D7E" w14:textId="77777777" w:rsidR="00CB0F19" w:rsidRDefault="00CB0F19" w:rsidP="00CB0F19">
      <w:pPr>
        <w:pStyle w:val="NoSpacing"/>
        <w:jc w:val="both"/>
        <w:rPr>
          <w:color w:val="000000" w:themeColor="text1"/>
          <w:sz w:val="28"/>
          <w:szCs w:val="28"/>
        </w:rPr>
      </w:pPr>
    </w:p>
    <w:p w14:paraId="41B9B882" w14:textId="77777777" w:rsidR="00CB0F19" w:rsidRDefault="00CB0F19" w:rsidP="00CB0F19">
      <w:pPr>
        <w:pStyle w:val="NoSpacing"/>
        <w:jc w:val="both"/>
        <w:rPr>
          <w:color w:val="000000" w:themeColor="text1"/>
          <w:sz w:val="28"/>
          <w:szCs w:val="28"/>
        </w:rPr>
      </w:pPr>
      <w:r>
        <w:rPr>
          <w:color w:val="000000" w:themeColor="text1"/>
          <w:sz w:val="28"/>
          <w:szCs w:val="28"/>
        </w:rPr>
        <w:t>Signed:</w:t>
      </w:r>
    </w:p>
    <w:p w14:paraId="0CE835FC" w14:textId="77777777" w:rsidR="00CB0F19" w:rsidRDefault="00CB0F19" w:rsidP="00CB0F19">
      <w:pPr>
        <w:pStyle w:val="NoSpacing"/>
        <w:jc w:val="both"/>
        <w:rPr>
          <w:color w:val="000000" w:themeColor="text1"/>
          <w:sz w:val="28"/>
          <w:szCs w:val="28"/>
        </w:rPr>
      </w:pPr>
    </w:p>
    <w:p w14:paraId="436BC775" w14:textId="77777777" w:rsidR="00CB0F19" w:rsidRDefault="00CB0F19" w:rsidP="00CB0F19">
      <w:pPr>
        <w:pStyle w:val="NoSpacing"/>
        <w:jc w:val="both"/>
        <w:rPr>
          <w:color w:val="000000" w:themeColor="text1"/>
          <w:sz w:val="28"/>
          <w:szCs w:val="28"/>
        </w:rPr>
      </w:pPr>
      <w:r>
        <w:rPr>
          <w:noProof/>
          <w:color w:val="000000" w:themeColor="text1"/>
          <w:sz w:val="28"/>
          <w:szCs w:val="28"/>
        </w:rPr>
        <w:drawing>
          <wp:anchor distT="0" distB="0" distL="114300" distR="114300" simplePos="0" relativeHeight="251659264" behindDoc="1" locked="0" layoutInCell="1" allowOverlap="1" wp14:anchorId="4754F700" wp14:editId="21949105">
            <wp:simplePos x="0" y="0"/>
            <wp:positionH relativeFrom="column">
              <wp:posOffset>542925</wp:posOffset>
            </wp:positionH>
            <wp:positionV relativeFrom="paragraph">
              <wp:posOffset>173356</wp:posOffset>
            </wp:positionV>
            <wp:extent cx="789940"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9940" cy="723900"/>
                    </a:xfrm>
                    <a:prstGeom prst="rect">
                      <a:avLst/>
                    </a:prstGeom>
                  </pic:spPr>
                </pic:pic>
              </a:graphicData>
            </a:graphic>
            <wp14:sizeRelH relativeFrom="margin">
              <wp14:pctWidth>0</wp14:pctWidth>
            </wp14:sizeRelH>
            <wp14:sizeRelV relativeFrom="margin">
              <wp14:pctHeight>0</wp14:pctHeight>
            </wp14:sizeRelV>
          </wp:anchor>
        </w:drawing>
      </w:r>
    </w:p>
    <w:p w14:paraId="18CFB537" w14:textId="77777777" w:rsidR="00CB0F19" w:rsidRDefault="00CB0F19" w:rsidP="00CB0F19">
      <w:pPr>
        <w:pStyle w:val="NoSpacing"/>
        <w:jc w:val="both"/>
        <w:rPr>
          <w:color w:val="000000" w:themeColor="text1"/>
          <w:sz w:val="28"/>
          <w:szCs w:val="28"/>
        </w:rPr>
      </w:pPr>
    </w:p>
    <w:p w14:paraId="7367AD0F" w14:textId="77777777" w:rsidR="00CB0F19" w:rsidRPr="00A57D5D" w:rsidRDefault="00CB0F19" w:rsidP="00CB0F19">
      <w:pPr>
        <w:pStyle w:val="NoSpacing"/>
        <w:jc w:val="both"/>
        <w:rPr>
          <w:b/>
          <w:color w:val="000000" w:themeColor="text1"/>
          <w:sz w:val="28"/>
          <w:szCs w:val="28"/>
        </w:rPr>
      </w:pPr>
      <w:r w:rsidRPr="00A57D5D">
        <w:rPr>
          <w:b/>
          <w:color w:val="000000" w:themeColor="text1"/>
          <w:sz w:val="28"/>
          <w:szCs w:val="28"/>
        </w:rPr>
        <w:t>Engr. ROGELIO B. MINA, JR.</w:t>
      </w:r>
    </w:p>
    <w:p w14:paraId="6B670D7C" w14:textId="77777777" w:rsidR="00CB0F19" w:rsidRDefault="00CB0F19" w:rsidP="00CB0F19">
      <w:pPr>
        <w:pStyle w:val="NoSpacing"/>
        <w:jc w:val="both"/>
        <w:rPr>
          <w:color w:val="000000" w:themeColor="text1"/>
          <w:sz w:val="28"/>
          <w:szCs w:val="28"/>
        </w:rPr>
      </w:pPr>
      <w:r>
        <w:rPr>
          <w:color w:val="000000" w:themeColor="text1"/>
          <w:sz w:val="28"/>
          <w:szCs w:val="28"/>
        </w:rPr>
        <w:t>General Manager</w:t>
      </w:r>
    </w:p>
    <w:p w14:paraId="6B7D43C2" w14:textId="77777777" w:rsidR="00CB0F19" w:rsidRPr="005A6AB0" w:rsidRDefault="00CB0F19" w:rsidP="00CB0F19">
      <w:pPr>
        <w:pStyle w:val="NoSpacing"/>
        <w:jc w:val="both"/>
        <w:rPr>
          <w:color w:val="000000" w:themeColor="text1"/>
          <w:sz w:val="28"/>
          <w:szCs w:val="28"/>
        </w:rPr>
      </w:pPr>
      <w:r>
        <w:rPr>
          <w:color w:val="000000" w:themeColor="text1"/>
          <w:sz w:val="28"/>
          <w:szCs w:val="28"/>
        </w:rPr>
        <w:t xml:space="preserve"> </w:t>
      </w:r>
    </w:p>
    <w:p w14:paraId="3F9D511A" w14:textId="4F8409E9" w:rsidR="00CB0F19" w:rsidRPr="000D2576" w:rsidRDefault="00CB0F19" w:rsidP="00CB0F19">
      <w:pPr>
        <w:pStyle w:val="NoSpacing"/>
        <w:jc w:val="both"/>
        <w:rPr>
          <w:color w:val="000000" w:themeColor="text1"/>
          <w:sz w:val="28"/>
          <w:szCs w:val="28"/>
        </w:rPr>
      </w:pPr>
      <w:r>
        <w:rPr>
          <w:color w:val="000000" w:themeColor="text1"/>
          <w:sz w:val="28"/>
          <w:szCs w:val="28"/>
        </w:rPr>
        <w:t xml:space="preserve">Date:  </w:t>
      </w:r>
      <w:r w:rsidR="00F76D33">
        <w:rPr>
          <w:color w:val="000000" w:themeColor="text1"/>
          <w:sz w:val="28"/>
          <w:szCs w:val="28"/>
          <w:u w:val="single"/>
        </w:rPr>
        <w:t>April 28</w:t>
      </w:r>
      <w:r w:rsidRPr="00C37966">
        <w:rPr>
          <w:color w:val="000000" w:themeColor="text1"/>
          <w:sz w:val="28"/>
          <w:szCs w:val="28"/>
          <w:u w:val="single"/>
        </w:rPr>
        <w:t xml:space="preserve">, </w:t>
      </w:r>
      <w:r>
        <w:rPr>
          <w:color w:val="000000" w:themeColor="text1"/>
          <w:sz w:val="28"/>
          <w:szCs w:val="28"/>
          <w:u w:val="single"/>
        </w:rPr>
        <w:t>202</w:t>
      </w:r>
      <w:r w:rsidR="00F76D33">
        <w:rPr>
          <w:color w:val="000000" w:themeColor="text1"/>
          <w:sz w:val="28"/>
          <w:szCs w:val="28"/>
          <w:u w:val="single"/>
        </w:rPr>
        <w:t>3</w:t>
      </w:r>
      <w:r>
        <w:rPr>
          <w:color w:val="000000" w:themeColor="text1"/>
          <w:sz w:val="28"/>
          <w:szCs w:val="28"/>
        </w:rPr>
        <w:t xml:space="preserve"> </w:t>
      </w:r>
    </w:p>
    <w:p w14:paraId="113D3461" w14:textId="77777777" w:rsidR="00CB0F19" w:rsidRPr="00972F89" w:rsidRDefault="00CB0F19" w:rsidP="00CB0F19">
      <w:pPr>
        <w:pStyle w:val="NoSpacing"/>
        <w:jc w:val="both"/>
        <w:rPr>
          <w:b/>
          <w:color w:val="C00000"/>
          <w:sz w:val="28"/>
          <w:szCs w:val="28"/>
        </w:rPr>
      </w:pPr>
    </w:p>
    <w:p w14:paraId="740F3039" w14:textId="77777777" w:rsidR="00CB0F19" w:rsidRPr="00AC7D76" w:rsidRDefault="00CB0F19" w:rsidP="00CB0F19">
      <w:pPr>
        <w:pStyle w:val="ListParagraph"/>
        <w:ind w:left="1080"/>
        <w:jc w:val="both"/>
        <w:rPr>
          <w:sz w:val="28"/>
          <w:szCs w:val="28"/>
        </w:rPr>
      </w:pPr>
    </w:p>
    <w:p w14:paraId="05B9E363" w14:textId="77777777" w:rsidR="00CB0F19" w:rsidRPr="00AC7D76" w:rsidRDefault="00CB0F19" w:rsidP="00CB0F19">
      <w:pPr>
        <w:pStyle w:val="ListParagraph"/>
        <w:ind w:left="1080"/>
        <w:jc w:val="both"/>
        <w:rPr>
          <w:sz w:val="28"/>
          <w:szCs w:val="28"/>
        </w:rPr>
      </w:pPr>
    </w:p>
    <w:p w14:paraId="5F71DF71" w14:textId="77777777" w:rsidR="00CB0F19" w:rsidRPr="00CB0F19" w:rsidRDefault="00CB0F19" w:rsidP="00CB0F19"/>
    <w:sectPr w:rsidR="00CB0F19" w:rsidRPr="00CB0F19" w:rsidSect="00CB0F19">
      <w:headerReference w:type="even" r:id="rId9"/>
      <w:headerReference w:type="default" r:id="rId10"/>
      <w:footerReference w:type="default" r:id="rId11"/>
      <w:headerReference w:type="first" r:id="rId12"/>
      <w:pgSz w:w="12240" w:h="1584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E2F04" w14:textId="77777777" w:rsidR="003301DA" w:rsidRDefault="003301DA" w:rsidP="002270F0">
      <w:pPr>
        <w:spacing w:after="0" w:line="240" w:lineRule="auto"/>
      </w:pPr>
      <w:r>
        <w:separator/>
      </w:r>
    </w:p>
  </w:endnote>
  <w:endnote w:type="continuationSeparator" w:id="0">
    <w:p w14:paraId="64D4AA2E" w14:textId="77777777" w:rsidR="003301DA" w:rsidRDefault="003301DA" w:rsidP="00227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BC63" w14:textId="604E8484" w:rsidR="00E076BD" w:rsidRDefault="00E076BD" w:rsidP="00972EAB">
    <w:pPr>
      <w:pStyle w:val="NoSpacing"/>
      <w:rPr>
        <w:rFonts w:ascii="Segoe UI" w:hAnsi="Segoe UI" w:cs="Segoe UI"/>
        <w:color w:val="2F5496" w:themeColor="accent1" w:themeShade="BF"/>
        <w:sz w:val="14"/>
        <w:szCs w:val="14"/>
      </w:rPr>
    </w:pPr>
  </w:p>
  <w:p w14:paraId="4ED3EF3C" w14:textId="289410D4" w:rsidR="00E076BD" w:rsidRDefault="00E076BD" w:rsidP="00972EAB">
    <w:pPr>
      <w:pStyle w:val="NoSpacing"/>
      <w:rPr>
        <w:rFonts w:ascii="Segoe UI" w:hAnsi="Segoe UI" w:cs="Segoe UI"/>
        <w:color w:val="2F5496" w:themeColor="accent1" w:themeShade="BF"/>
        <w:sz w:val="14"/>
        <w:szCs w:val="14"/>
      </w:rPr>
    </w:pPr>
    <w:bookmarkStart w:id="0" w:name="_Hlk32327213"/>
  </w:p>
  <w:p w14:paraId="1F356B48" w14:textId="3F3E9E56" w:rsidR="00972EAB" w:rsidRPr="00DD70CB" w:rsidRDefault="00E076BD" w:rsidP="00972EAB">
    <w:pPr>
      <w:pStyle w:val="NoSpacing"/>
      <w:rPr>
        <w:rFonts w:ascii="Segoe UI" w:hAnsi="Segoe UI" w:cs="Segoe UI"/>
        <w:color w:val="1F4E79" w:themeColor="accent5" w:themeShade="80"/>
        <w:sz w:val="14"/>
        <w:szCs w:val="14"/>
      </w:rPr>
    </w:pPr>
    <w:r>
      <w:rPr>
        <w:rFonts w:ascii="Segoe UI" w:hAnsi="Segoe UI" w:cs="Segoe UI"/>
        <w:noProof/>
        <w:color w:val="1F4E79" w:themeColor="accent5" w:themeShade="80"/>
        <w:sz w:val="14"/>
        <w:szCs w:val="14"/>
      </w:rPr>
      <mc:AlternateContent>
        <mc:Choice Requires="wps">
          <w:drawing>
            <wp:anchor distT="0" distB="0" distL="114300" distR="114300" simplePos="0" relativeHeight="251674624" behindDoc="0" locked="0" layoutInCell="1" allowOverlap="1" wp14:anchorId="60B687D7" wp14:editId="119DECC3">
              <wp:simplePos x="0" y="0"/>
              <wp:positionH relativeFrom="column">
                <wp:posOffset>10274</wp:posOffset>
              </wp:positionH>
              <wp:positionV relativeFrom="paragraph">
                <wp:posOffset>13834</wp:posOffset>
              </wp:positionV>
              <wp:extent cx="571182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571182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0CAAB4" id="Straight Connector 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1pt" to="450.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" strokecolor="#5b9bd5 [3208]" strokeweight="1.5pt">
              <v:stroke joinstyle="miter"/>
            </v:line>
          </w:pict>
        </mc:Fallback>
      </mc:AlternateContent>
    </w:r>
    <w:bookmarkStart w:id="1" w:name="_Hlk26867002"/>
    <w:bookmarkStart w:id="2" w:name="_Hlk26867003"/>
    <w:bookmarkStart w:id="3" w:name="_Hlk26868987"/>
    <w:bookmarkStart w:id="4" w:name="_Hlk26868988"/>
    <w:r w:rsidR="00972EAB">
      <w:rPr>
        <w:rFonts w:ascii="Segoe UI" w:hAnsi="Segoe UI" w:cs="Segoe UI"/>
        <w:color w:val="2F5496" w:themeColor="accent1" w:themeShade="BF"/>
        <w:sz w:val="14"/>
        <w:szCs w:val="14"/>
      </w:rPr>
      <w:tab/>
    </w:r>
    <w:r w:rsidR="00972EAB">
      <w:rPr>
        <w:rFonts w:ascii="Segoe UI" w:hAnsi="Segoe UI" w:cs="Segoe UI"/>
        <w:color w:val="2F5496" w:themeColor="accent1" w:themeShade="BF"/>
        <w:sz w:val="14"/>
        <w:szCs w:val="14"/>
      </w:rPr>
      <w:tab/>
    </w:r>
    <w:r w:rsidR="00972EAB">
      <w:rPr>
        <w:rFonts w:ascii="Segoe UI" w:hAnsi="Segoe UI" w:cs="Segoe UI"/>
        <w:color w:val="2F5496" w:themeColor="accent1" w:themeShade="BF"/>
        <w:sz w:val="14"/>
        <w:szCs w:val="14"/>
      </w:rPr>
      <w:tab/>
    </w:r>
    <w:r w:rsidR="00972EAB">
      <w:rPr>
        <w:rFonts w:ascii="Segoe UI" w:hAnsi="Segoe UI" w:cs="Segoe UI"/>
        <w:color w:val="2F5496" w:themeColor="accent1" w:themeShade="BF"/>
        <w:sz w:val="14"/>
        <w:szCs w:val="14"/>
      </w:rPr>
      <w:tab/>
    </w:r>
    <w:r w:rsidR="00972EAB">
      <w:rPr>
        <w:rFonts w:ascii="Segoe UI" w:hAnsi="Segoe UI" w:cs="Segoe UI"/>
        <w:color w:val="2F5496" w:themeColor="accent1" w:themeShade="BF"/>
        <w:sz w:val="14"/>
        <w:szCs w:val="14"/>
      </w:rPr>
      <w:tab/>
    </w:r>
    <w:r w:rsidR="00972EAB">
      <w:rPr>
        <w:rFonts w:ascii="Segoe UI" w:hAnsi="Segoe UI" w:cs="Segoe UI"/>
        <w:color w:val="2F5496" w:themeColor="accent1" w:themeShade="BF"/>
        <w:sz w:val="14"/>
        <w:szCs w:val="14"/>
      </w:rPr>
      <w:tab/>
    </w:r>
    <w:r w:rsidR="00972EAB">
      <w:rPr>
        <w:rFonts w:ascii="Segoe UI" w:hAnsi="Segoe UI" w:cs="Segoe UI"/>
        <w:color w:val="2F5496" w:themeColor="accent1" w:themeShade="BF"/>
        <w:sz w:val="14"/>
        <w:szCs w:val="14"/>
      </w:rPr>
      <w:tab/>
    </w:r>
    <w:r w:rsidR="00972EAB">
      <w:rPr>
        <w:rFonts w:ascii="Segoe UI" w:hAnsi="Segoe UI" w:cs="Segoe UI"/>
        <w:color w:val="2F5496" w:themeColor="accent1" w:themeShade="BF"/>
        <w:sz w:val="14"/>
        <w:szCs w:val="14"/>
      </w:rPr>
      <w:tab/>
    </w:r>
  </w:p>
  <w:p w14:paraId="5F617C40" w14:textId="2B05E1B5" w:rsidR="00972EAB" w:rsidRPr="003B033E" w:rsidRDefault="00972EAB" w:rsidP="009172F0">
    <w:pPr>
      <w:pStyle w:val="NoSpacing"/>
      <w:tabs>
        <w:tab w:val="right" w:pos="9026"/>
      </w:tabs>
      <w:rPr>
        <w:rFonts w:ascii="Segoe UI" w:hAnsi="Segoe UI" w:cs="Segoe UI"/>
        <w:color w:val="2F5496" w:themeColor="accent1" w:themeShade="BF"/>
        <w:sz w:val="14"/>
        <w:szCs w:val="14"/>
      </w:rPr>
    </w:pPr>
    <w:r w:rsidRPr="003B033E">
      <w:rPr>
        <w:rFonts w:ascii="Segoe UI" w:hAnsi="Segoe UI" w:cs="Segoe UI"/>
        <w:color w:val="2F5496" w:themeColor="accent1" w:themeShade="BF"/>
        <w:sz w:val="14"/>
        <w:szCs w:val="14"/>
      </w:rPr>
      <w:t>FORM NO. 00160</w:t>
    </w:r>
    <w:r w:rsidR="009172F0">
      <w:rPr>
        <w:rFonts w:ascii="Segoe UI" w:hAnsi="Segoe UI" w:cs="Segoe UI"/>
        <w:color w:val="2F5496" w:themeColor="accent1" w:themeShade="BF"/>
        <w:sz w:val="14"/>
        <w:szCs w:val="14"/>
      </w:rPr>
      <w:tab/>
    </w:r>
  </w:p>
  <w:p w14:paraId="39E88DF3" w14:textId="7135618C" w:rsidR="00972EAB" w:rsidRPr="003B033E" w:rsidRDefault="001A4B1D" w:rsidP="00972EAB">
    <w:pPr>
      <w:pStyle w:val="NoSpacing"/>
      <w:rPr>
        <w:rFonts w:ascii="Segoe UI" w:hAnsi="Segoe UI" w:cs="Segoe UI"/>
        <w:color w:val="2F5496" w:themeColor="accent1" w:themeShade="BF"/>
        <w:sz w:val="14"/>
        <w:szCs w:val="14"/>
      </w:rPr>
    </w:pPr>
    <w:r>
      <w:rPr>
        <w:rFonts w:ascii="Segoe UI" w:hAnsi="Segoe UI" w:cs="Segoe UI"/>
        <w:color w:val="2F5496" w:themeColor="accent1" w:themeShade="BF"/>
        <w:sz w:val="14"/>
        <w:szCs w:val="14"/>
      </w:rPr>
      <w:t>July 2019</w:t>
    </w:r>
    <w:r w:rsidR="00972EAB" w:rsidRPr="003B033E">
      <w:rPr>
        <w:rFonts w:ascii="Segoe UI" w:hAnsi="Segoe UI" w:cs="Segoe UI"/>
        <w:color w:val="2F5496" w:themeColor="accent1" w:themeShade="BF"/>
        <w:sz w:val="14"/>
        <w:szCs w:val="14"/>
      </w:rPr>
      <w:t xml:space="preserve"> | REV. 000</w:t>
    </w:r>
  </w:p>
  <w:p w14:paraId="299A6FEE" w14:textId="1231C86A" w:rsidR="00972EAB" w:rsidRPr="00F16D16" w:rsidRDefault="00D74130" w:rsidP="00972EAB">
    <w:pPr>
      <w:pStyle w:val="NoSpacing"/>
      <w:rPr>
        <w:rFonts w:ascii="Segoe UI" w:hAnsi="Segoe UI" w:cs="Segoe UI"/>
        <w:b/>
        <w:bCs/>
        <w:color w:val="2F5496" w:themeColor="accent1" w:themeShade="BF"/>
        <w:sz w:val="16"/>
        <w:szCs w:val="16"/>
      </w:rPr>
    </w:pPr>
    <w:r>
      <w:rPr>
        <w:rFonts w:ascii="Segoe UI" w:hAnsi="Segoe UI" w:cs="Segoe UI"/>
        <w:b/>
        <w:bCs/>
        <w:color w:val="2F5496" w:themeColor="accent1" w:themeShade="BF"/>
        <w:sz w:val="16"/>
        <w:szCs w:val="16"/>
      </w:rPr>
      <w:t>LDS</w:t>
    </w:r>
    <w:r w:rsidR="00217758">
      <w:rPr>
        <w:rFonts w:ascii="Segoe UI" w:hAnsi="Segoe UI" w:cs="Segoe UI"/>
        <w:b/>
        <w:bCs/>
        <w:color w:val="2F5496" w:themeColor="accent1" w:themeShade="BF"/>
        <w:sz w:val="16"/>
        <w:szCs w:val="16"/>
      </w:rPr>
      <w:t>-</w:t>
    </w:r>
    <w:r w:rsidR="001A1475">
      <w:rPr>
        <w:rFonts w:ascii="Segoe UI" w:hAnsi="Segoe UI" w:cs="Segoe UI"/>
        <w:b/>
        <w:bCs/>
        <w:color w:val="2F5496" w:themeColor="accent1" w:themeShade="BF"/>
        <w:sz w:val="16"/>
        <w:szCs w:val="16"/>
      </w:rPr>
      <w:t>0</w:t>
    </w:r>
    <w:r w:rsidR="00CB0F19">
      <w:rPr>
        <w:rFonts w:ascii="Segoe UI" w:hAnsi="Segoe UI" w:cs="Segoe UI"/>
        <w:b/>
        <w:bCs/>
        <w:color w:val="2F5496" w:themeColor="accent1" w:themeShade="BF"/>
        <w:sz w:val="16"/>
        <w:szCs w:val="16"/>
      </w:rPr>
      <w:t>5</w:t>
    </w:r>
    <w:r w:rsidR="001A1475">
      <w:rPr>
        <w:rFonts w:ascii="Segoe UI" w:hAnsi="Segoe UI" w:cs="Segoe UI"/>
        <w:b/>
        <w:bCs/>
        <w:color w:val="2F5496" w:themeColor="accent1" w:themeShade="BF"/>
        <w:sz w:val="16"/>
        <w:szCs w:val="16"/>
      </w:rPr>
      <w:t>1</w:t>
    </w:r>
    <w:r w:rsidR="00CB0F19">
      <w:rPr>
        <w:rFonts w:ascii="Segoe UI" w:hAnsi="Segoe UI" w:cs="Segoe UI"/>
        <w:b/>
        <w:bCs/>
        <w:color w:val="2F5496" w:themeColor="accent1" w:themeShade="BF"/>
        <w:sz w:val="16"/>
        <w:szCs w:val="16"/>
      </w:rPr>
      <w:t>2</w:t>
    </w:r>
    <w:r w:rsidR="001A1475">
      <w:rPr>
        <w:rFonts w:ascii="Segoe UI" w:hAnsi="Segoe UI" w:cs="Segoe UI"/>
        <w:b/>
        <w:bCs/>
        <w:color w:val="2F5496" w:themeColor="accent1" w:themeShade="BF"/>
        <w:sz w:val="16"/>
        <w:szCs w:val="16"/>
      </w:rPr>
      <w:t>202</w:t>
    </w:r>
    <w:r w:rsidR="00CB0F19">
      <w:rPr>
        <w:rFonts w:ascii="Segoe UI" w:hAnsi="Segoe UI" w:cs="Segoe UI"/>
        <w:b/>
        <w:bCs/>
        <w:color w:val="2F5496" w:themeColor="accent1" w:themeShade="BF"/>
        <w:sz w:val="16"/>
        <w:szCs w:val="16"/>
      </w:rPr>
      <w:t>2</w:t>
    </w:r>
    <w:r w:rsidR="00217758">
      <w:rPr>
        <w:rFonts w:ascii="Segoe UI" w:hAnsi="Segoe UI" w:cs="Segoe UI"/>
        <w:b/>
        <w:bCs/>
        <w:color w:val="2F5496" w:themeColor="accent1" w:themeShade="BF"/>
        <w:sz w:val="16"/>
        <w:szCs w:val="16"/>
      </w:rPr>
      <w:t>-01</w:t>
    </w:r>
  </w:p>
  <w:p w14:paraId="24C4D055" w14:textId="77777777" w:rsidR="00972EAB" w:rsidRPr="003B033E" w:rsidRDefault="00972EAB" w:rsidP="00972EAB">
    <w:pPr>
      <w:pStyle w:val="Footer"/>
      <w:rPr>
        <w:color w:val="2F5496" w:themeColor="accent1" w:themeShade="BF"/>
      </w:rPr>
    </w:pPr>
  </w:p>
  <w:bookmarkEnd w:id="0"/>
  <w:bookmarkEnd w:id="1"/>
  <w:bookmarkEnd w:id="2"/>
  <w:bookmarkEnd w:id="3"/>
  <w:bookmarkEnd w:id="4"/>
  <w:p w14:paraId="42CB4CE7" w14:textId="13CF9FE2" w:rsidR="00BA4A1F" w:rsidRPr="00786978" w:rsidRDefault="00BA4A1F" w:rsidP="004C4914">
    <w:pPr>
      <w:pStyle w:val="NoSpacing"/>
      <w:rPr>
        <w:rFonts w:ascii="Segoe UI" w:hAnsi="Segoe UI" w:cs="Segoe UI"/>
        <w:b/>
        <w:bCs/>
        <w:color w:val="1F4E79" w:themeColor="accent5"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D82CA" w14:textId="77777777" w:rsidR="003301DA" w:rsidRDefault="003301DA" w:rsidP="002270F0">
      <w:pPr>
        <w:spacing w:after="0" w:line="240" w:lineRule="auto"/>
      </w:pPr>
      <w:r>
        <w:separator/>
      </w:r>
    </w:p>
  </w:footnote>
  <w:footnote w:type="continuationSeparator" w:id="0">
    <w:p w14:paraId="566A11F3" w14:textId="77777777" w:rsidR="003301DA" w:rsidRDefault="003301DA" w:rsidP="00227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991B" w14:textId="1E197CC0" w:rsidR="00E651DF" w:rsidRDefault="00000000">
    <w:pPr>
      <w:pStyle w:val="Header"/>
    </w:pPr>
    <w:r>
      <w:rPr>
        <w:noProof/>
      </w:rPr>
      <w:pict w14:anchorId="52D39E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2316594" o:spid="_x0000_s1035" type="#_x0000_t75" style="position:absolute;margin-left:0;margin-top:0;width:469.8pt;height:469.8pt;z-index:-251645952;mso-position-horizontal:center;mso-position-horizontal-relative:margin;mso-position-vertical:center;mso-position-vertical-relative:margin" o:allowincell="f">
          <v:imagedata r:id="rId1" o:title="Moncada Logo Blu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2F75" w14:textId="44C8823E" w:rsidR="002270F0" w:rsidRDefault="00972EAB">
    <w:pPr>
      <w:pStyle w:val="Header"/>
    </w:pPr>
    <w:r>
      <w:rPr>
        <w:noProof/>
      </w:rPr>
      <w:drawing>
        <wp:anchor distT="0" distB="0" distL="114300" distR="114300" simplePos="0" relativeHeight="251673600" behindDoc="1" locked="0" layoutInCell="1" allowOverlap="1" wp14:anchorId="5B395BF7" wp14:editId="25CFA863">
          <wp:simplePos x="0" y="0"/>
          <wp:positionH relativeFrom="margin">
            <wp:posOffset>-154111</wp:posOffset>
          </wp:positionH>
          <wp:positionV relativeFrom="paragraph">
            <wp:posOffset>-313362</wp:posOffset>
          </wp:positionV>
          <wp:extent cx="6298058" cy="74083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er New - Letter Size.JPG"/>
                  <pic:cNvPicPr/>
                </pic:nvPicPr>
                <pic:blipFill>
                  <a:blip r:embed="rId1">
                    <a:extLst>
                      <a:ext uri="{28A0092B-C50C-407E-A947-70E740481C1C}">
                        <a14:useLocalDpi xmlns:a14="http://schemas.microsoft.com/office/drawing/2010/main" val="0"/>
                      </a:ext>
                    </a:extLst>
                  </a:blip>
                  <a:stretch>
                    <a:fillRect/>
                  </a:stretch>
                </pic:blipFill>
                <pic:spPr>
                  <a:xfrm>
                    <a:off x="0" y="0"/>
                    <a:ext cx="6405806" cy="753504"/>
                  </a:xfrm>
                  <a:prstGeom prst="rect">
                    <a:avLst/>
                  </a:prstGeom>
                </pic:spPr>
              </pic:pic>
            </a:graphicData>
          </a:graphic>
          <wp14:sizeRelH relativeFrom="margin">
            <wp14:pctWidth>0</wp14:pctWidth>
          </wp14:sizeRelH>
          <wp14:sizeRelV relativeFrom="margin">
            <wp14:pctHeight>0</wp14:pctHeight>
          </wp14:sizeRelV>
        </wp:anchor>
      </w:drawing>
    </w:r>
    <w:r w:rsidR="00000000">
      <w:rPr>
        <w:noProof/>
      </w:rPr>
      <w:pict w14:anchorId="12DB4D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2316595" o:spid="_x0000_s1036" type="#_x0000_t75" style="position:absolute;margin-left:0;margin-top:0;width:469.8pt;height:469.8pt;z-index:-251644928;mso-position-horizontal:center;mso-position-horizontal-relative:margin;mso-position-vertical:center;mso-position-vertical-relative:margin" o:allowincell="f">
          <v:imagedata r:id="rId2" o:title="Moncada Logo Blu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CE63" w14:textId="50BF1054" w:rsidR="00E651DF" w:rsidRDefault="00000000">
    <w:pPr>
      <w:pStyle w:val="Header"/>
    </w:pPr>
    <w:r>
      <w:rPr>
        <w:noProof/>
      </w:rPr>
      <w:pict w14:anchorId="4CE23B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2316593" o:spid="_x0000_s1034" type="#_x0000_t75" style="position:absolute;margin-left:0;margin-top:0;width:469.8pt;height:469.8pt;z-index:-251646976;mso-position-horizontal:center;mso-position-horizontal-relative:margin;mso-position-vertical:center;mso-position-vertical-relative:margin" o:allowincell="f">
          <v:imagedata r:id="rId1" o:title="Moncada Logo Blu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E8D"/>
    <w:multiLevelType w:val="hybridMultilevel"/>
    <w:tmpl w:val="CF64D1AC"/>
    <w:lvl w:ilvl="0" w:tplc="45A2B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3C0246"/>
    <w:multiLevelType w:val="hybridMultilevel"/>
    <w:tmpl w:val="472CD77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A63DA6"/>
    <w:multiLevelType w:val="hybridMultilevel"/>
    <w:tmpl w:val="D2D02B32"/>
    <w:lvl w:ilvl="0" w:tplc="05945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E7375D"/>
    <w:multiLevelType w:val="hybridMultilevel"/>
    <w:tmpl w:val="1FB8545A"/>
    <w:lvl w:ilvl="0" w:tplc="EE98D6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F64DAC"/>
    <w:multiLevelType w:val="hybridMultilevel"/>
    <w:tmpl w:val="F6140DD0"/>
    <w:lvl w:ilvl="0" w:tplc="808AB88A">
      <w:start w:val="1"/>
      <w:numFmt w:val="bullet"/>
      <w:lvlText w:val="-"/>
      <w:lvlJc w:val="left"/>
      <w:pPr>
        <w:ind w:left="4485" w:hanging="360"/>
      </w:pPr>
      <w:rPr>
        <w:rFonts w:ascii="Segoe UI" w:eastAsiaTheme="minorHAnsi" w:hAnsi="Segoe UI" w:cs="Segoe UI" w:hint="default"/>
      </w:rPr>
    </w:lvl>
    <w:lvl w:ilvl="1" w:tplc="04090003" w:tentative="1">
      <w:start w:val="1"/>
      <w:numFmt w:val="bullet"/>
      <w:lvlText w:val="o"/>
      <w:lvlJc w:val="left"/>
      <w:pPr>
        <w:ind w:left="5205" w:hanging="360"/>
      </w:pPr>
      <w:rPr>
        <w:rFonts w:ascii="Courier New" w:hAnsi="Courier New" w:cs="Courier New" w:hint="default"/>
      </w:rPr>
    </w:lvl>
    <w:lvl w:ilvl="2" w:tplc="04090005" w:tentative="1">
      <w:start w:val="1"/>
      <w:numFmt w:val="bullet"/>
      <w:lvlText w:val=""/>
      <w:lvlJc w:val="left"/>
      <w:pPr>
        <w:ind w:left="5925" w:hanging="360"/>
      </w:pPr>
      <w:rPr>
        <w:rFonts w:ascii="Wingdings" w:hAnsi="Wingdings" w:hint="default"/>
      </w:rPr>
    </w:lvl>
    <w:lvl w:ilvl="3" w:tplc="04090001" w:tentative="1">
      <w:start w:val="1"/>
      <w:numFmt w:val="bullet"/>
      <w:lvlText w:val=""/>
      <w:lvlJc w:val="left"/>
      <w:pPr>
        <w:ind w:left="6645" w:hanging="360"/>
      </w:pPr>
      <w:rPr>
        <w:rFonts w:ascii="Symbol" w:hAnsi="Symbol" w:hint="default"/>
      </w:rPr>
    </w:lvl>
    <w:lvl w:ilvl="4" w:tplc="04090003" w:tentative="1">
      <w:start w:val="1"/>
      <w:numFmt w:val="bullet"/>
      <w:lvlText w:val="o"/>
      <w:lvlJc w:val="left"/>
      <w:pPr>
        <w:ind w:left="7365" w:hanging="360"/>
      </w:pPr>
      <w:rPr>
        <w:rFonts w:ascii="Courier New" w:hAnsi="Courier New" w:cs="Courier New" w:hint="default"/>
      </w:rPr>
    </w:lvl>
    <w:lvl w:ilvl="5" w:tplc="04090005" w:tentative="1">
      <w:start w:val="1"/>
      <w:numFmt w:val="bullet"/>
      <w:lvlText w:val=""/>
      <w:lvlJc w:val="left"/>
      <w:pPr>
        <w:ind w:left="8085" w:hanging="360"/>
      </w:pPr>
      <w:rPr>
        <w:rFonts w:ascii="Wingdings" w:hAnsi="Wingdings" w:hint="default"/>
      </w:rPr>
    </w:lvl>
    <w:lvl w:ilvl="6" w:tplc="04090001" w:tentative="1">
      <w:start w:val="1"/>
      <w:numFmt w:val="bullet"/>
      <w:lvlText w:val=""/>
      <w:lvlJc w:val="left"/>
      <w:pPr>
        <w:ind w:left="8805" w:hanging="360"/>
      </w:pPr>
      <w:rPr>
        <w:rFonts w:ascii="Symbol" w:hAnsi="Symbol" w:hint="default"/>
      </w:rPr>
    </w:lvl>
    <w:lvl w:ilvl="7" w:tplc="04090003" w:tentative="1">
      <w:start w:val="1"/>
      <w:numFmt w:val="bullet"/>
      <w:lvlText w:val="o"/>
      <w:lvlJc w:val="left"/>
      <w:pPr>
        <w:ind w:left="9525" w:hanging="360"/>
      </w:pPr>
      <w:rPr>
        <w:rFonts w:ascii="Courier New" w:hAnsi="Courier New" w:cs="Courier New" w:hint="default"/>
      </w:rPr>
    </w:lvl>
    <w:lvl w:ilvl="8" w:tplc="04090005" w:tentative="1">
      <w:start w:val="1"/>
      <w:numFmt w:val="bullet"/>
      <w:lvlText w:val=""/>
      <w:lvlJc w:val="left"/>
      <w:pPr>
        <w:ind w:left="10245" w:hanging="360"/>
      </w:pPr>
      <w:rPr>
        <w:rFonts w:ascii="Wingdings" w:hAnsi="Wingdings" w:hint="default"/>
      </w:rPr>
    </w:lvl>
  </w:abstractNum>
  <w:abstractNum w:abstractNumId="5" w15:restartNumberingAfterBreak="0">
    <w:nsid w:val="15C4234D"/>
    <w:multiLevelType w:val="hybridMultilevel"/>
    <w:tmpl w:val="D7B4CB8A"/>
    <w:lvl w:ilvl="0" w:tplc="76260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B318CF"/>
    <w:multiLevelType w:val="hybridMultilevel"/>
    <w:tmpl w:val="9DA2F664"/>
    <w:lvl w:ilvl="0" w:tplc="CA06E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4E3DA6"/>
    <w:multiLevelType w:val="hybridMultilevel"/>
    <w:tmpl w:val="A1107A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660D2"/>
    <w:multiLevelType w:val="hybridMultilevel"/>
    <w:tmpl w:val="7402FE74"/>
    <w:lvl w:ilvl="0" w:tplc="FAA433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B97552"/>
    <w:multiLevelType w:val="hybridMultilevel"/>
    <w:tmpl w:val="36D4B510"/>
    <w:lvl w:ilvl="0" w:tplc="68E0C64E">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0D2F8C"/>
    <w:multiLevelType w:val="hybridMultilevel"/>
    <w:tmpl w:val="87F2C126"/>
    <w:lvl w:ilvl="0" w:tplc="AC54A15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BAA41B9"/>
    <w:multiLevelType w:val="hybridMultilevel"/>
    <w:tmpl w:val="61E63C16"/>
    <w:lvl w:ilvl="0" w:tplc="1826AEFA">
      <w:start w:val="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E0C3B15"/>
    <w:multiLevelType w:val="hybridMultilevel"/>
    <w:tmpl w:val="4BCC1E68"/>
    <w:lvl w:ilvl="0" w:tplc="AD0C22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B20B00"/>
    <w:multiLevelType w:val="hybridMultilevel"/>
    <w:tmpl w:val="34727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F7C2D"/>
    <w:multiLevelType w:val="hybridMultilevel"/>
    <w:tmpl w:val="D1CE7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A230AF"/>
    <w:multiLevelType w:val="hybridMultilevel"/>
    <w:tmpl w:val="84BCA824"/>
    <w:lvl w:ilvl="0" w:tplc="DA8AA19C">
      <w:start w:val="1"/>
      <w:numFmt w:val="bullet"/>
      <w:lvlText w:val="-"/>
      <w:lvlJc w:val="left"/>
      <w:pPr>
        <w:ind w:left="4680" w:hanging="360"/>
      </w:pPr>
      <w:rPr>
        <w:rFonts w:ascii="Segoe UI" w:eastAsiaTheme="minorHAnsi" w:hAnsi="Segoe UI" w:cs="Segoe U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6" w15:restartNumberingAfterBreak="0">
    <w:nsid w:val="3AE51050"/>
    <w:multiLevelType w:val="hybridMultilevel"/>
    <w:tmpl w:val="95CC1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3004CB"/>
    <w:multiLevelType w:val="hybridMultilevel"/>
    <w:tmpl w:val="24F66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F530CC"/>
    <w:multiLevelType w:val="hybridMultilevel"/>
    <w:tmpl w:val="1C72C8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F22B27"/>
    <w:multiLevelType w:val="hybridMultilevel"/>
    <w:tmpl w:val="749AD2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581325"/>
    <w:multiLevelType w:val="hybridMultilevel"/>
    <w:tmpl w:val="90FCBA28"/>
    <w:lvl w:ilvl="0" w:tplc="18DC1F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8737E00"/>
    <w:multiLevelType w:val="hybridMultilevel"/>
    <w:tmpl w:val="B30EC4BC"/>
    <w:lvl w:ilvl="0" w:tplc="EFA05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08502C"/>
    <w:multiLevelType w:val="hybridMultilevel"/>
    <w:tmpl w:val="B7C46AA4"/>
    <w:lvl w:ilvl="0" w:tplc="552E4984">
      <w:start w:val="1"/>
      <w:numFmt w:val="bullet"/>
      <w:lvlText w:val="-"/>
      <w:lvlJc w:val="left"/>
      <w:pPr>
        <w:ind w:left="4680" w:hanging="360"/>
      </w:pPr>
      <w:rPr>
        <w:rFonts w:ascii="Segoe UI" w:eastAsiaTheme="minorHAnsi" w:hAnsi="Segoe UI" w:cs="Segoe U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3" w15:restartNumberingAfterBreak="0">
    <w:nsid w:val="6E1566C4"/>
    <w:multiLevelType w:val="hybridMultilevel"/>
    <w:tmpl w:val="294804D4"/>
    <w:lvl w:ilvl="0" w:tplc="8FF4103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74B3C04"/>
    <w:multiLevelType w:val="hybridMultilevel"/>
    <w:tmpl w:val="DB225ABA"/>
    <w:lvl w:ilvl="0" w:tplc="46EE89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89E0E29"/>
    <w:multiLevelType w:val="hybridMultilevel"/>
    <w:tmpl w:val="59B62094"/>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DA3863"/>
    <w:multiLevelType w:val="hybridMultilevel"/>
    <w:tmpl w:val="4566F06E"/>
    <w:lvl w:ilvl="0" w:tplc="526456B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1270966332">
    <w:abstractNumId w:val="17"/>
  </w:num>
  <w:num w:numId="2" w16cid:durableId="54551473">
    <w:abstractNumId w:val="16"/>
  </w:num>
  <w:num w:numId="3" w16cid:durableId="1517648466">
    <w:abstractNumId w:val="25"/>
  </w:num>
  <w:num w:numId="4" w16cid:durableId="629676396">
    <w:abstractNumId w:val="1"/>
  </w:num>
  <w:num w:numId="5" w16cid:durableId="374818088">
    <w:abstractNumId w:val="19"/>
  </w:num>
  <w:num w:numId="6" w16cid:durableId="1026784656">
    <w:abstractNumId w:val="18"/>
  </w:num>
  <w:num w:numId="7" w16cid:durableId="723061997">
    <w:abstractNumId w:val="7"/>
  </w:num>
  <w:num w:numId="8" w16cid:durableId="498426336">
    <w:abstractNumId w:val="12"/>
  </w:num>
  <w:num w:numId="9" w16cid:durableId="5989430">
    <w:abstractNumId w:val="8"/>
  </w:num>
  <w:num w:numId="10" w16cid:durableId="148909697">
    <w:abstractNumId w:val="4"/>
  </w:num>
  <w:num w:numId="11" w16cid:durableId="333262601">
    <w:abstractNumId w:val="15"/>
  </w:num>
  <w:num w:numId="12" w16cid:durableId="1602298145">
    <w:abstractNumId w:val="22"/>
  </w:num>
  <w:num w:numId="13" w16cid:durableId="536313249">
    <w:abstractNumId w:val="3"/>
  </w:num>
  <w:num w:numId="14" w16cid:durableId="2072342286">
    <w:abstractNumId w:val="2"/>
  </w:num>
  <w:num w:numId="15" w16cid:durableId="204298342">
    <w:abstractNumId w:val="0"/>
  </w:num>
  <w:num w:numId="16" w16cid:durableId="1521581133">
    <w:abstractNumId w:val="6"/>
  </w:num>
  <w:num w:numId="17" w16cid:durableId="827984240">
    <w:abstractNumId w:val="21"/>
  </w:num>
  <w:num w:numId="18" w16cid:durableId="946423956">
    <w:abstractNumId w:val="23"/>
  </w:num>
  <w:num w:numId="19" w16cid:durableId="2131431823">
    <w:abstractNumId w:val="14"/>
  </w:num>
  <w:num w:numId="20" w16cid:durableId="1200433583">
    <w:abstractNumId w:val="5"/>
  </w:num>
  <w:num w:numId="21" w16cid:durableId="49153272">
    <w:abstractNumId w:val="10"/>
  </w:num>
  <w:num w:numId="22" w16cid:durableId="413476934">
    <w:abstractNumId w:val="13"/>
  </w:num>
  <w:num w:numId="23" w16cid:durableId="1485202186">
    <w:abstractNumId w:val="9"/>
  </w:num>
  <w:num w:numId="24" w16cid:durableId="961763790">
    <w:abstractNumId w:val="20"/>
  </w:num>
  <w:num w:numId="25" w16cid:durableId="1845050065">
    <w:abstractNumId w:val="26"/>
  </w:num>
  <w:num w:numId="26" w16cid:durableId="754209809">
    <w:abstractNumId w:val="11"/>
  </w:num>
  <w:num w:numId="27" w16cid:durableId="178796327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isplayBackgroundShape/>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0F0"/>
    <w:rsid w:val="00006B36"/>
    <w:rsid w:val="000328C8"/>
    <w:rsid w:val="0004678A"/>
    <w:rsid w:val="00054733"/>
    <w:rsid w:val="000701BD"/>
    <w:rsid w:val="00091F0F"/>
    <w:rsid w:val="00095F2C"/>
    <w:rsid w:val="000A4E1B"/>
    <w:rsid w:val="000B2387"/>
    <w:rsid w:val="000B393E"/>
    <w:rsid w:val="000E4029"/>
    <w:rsid w:val="000F647C"/>
    <w:rsid w:val="00103060"/>
    <w:rsid w:val="001061E7"/>
    <w:rsid w:val="001138A1"/>
    <w:rsid w:val="001349D3"/>
    <w:rsid w:val="00142E92"/>
    <w:rsid w:val="001A1475"/>
    <w:rsid w:val="001A4B1D"/>
    <w:rsid w:val="001B583A"/>
    <w:rsid w:val="001D1856"/>
    <w:rsid w:val="001D499A"/>
    <w:rsid w:val="001D77C6"/>
    <w:rsid w:val="001E421E"/>
    <w:rsid w:val="001F0E36"/>
    <w:rsid w:val="002079CD"/>
    <w:rsid w:val="00217758"/>
    <w:rsid w:val="00225ABB"/>
    <w:rsid w:val="002270F0"/>
    <w:rsid w:val="00230F42"/>
    <w:rsid w:val="002650FD"/>
    <w:rsid w:val="00291DBB"/>
    <w:rsid w:val="00292F71"/>
    <w:rsid w:val="00293C31"/>
    <w:rsid w:val="002A6460"/>
    <w:rsid w:val="002D2E60"/>
    <w:rsid w:val="002E4ABD"/>
    <w:rsid w:val="002F62B5"/>
    <w:rsid w:val="00306866"/>
    <w:rsid w:val="00314634"/>
    <w:rsid w:val="003301DA"/>
    <w:rsid w:val="00334382"/>
    <w:rsid w:val="00353ACF"/>
    <w:rsid w:val="00362BAB"/>
    <w:rsid w:val="00363F4B"/>
    <w:rsid w:val="00371476"/>
    <w:rsid w:val="00372C1B"/>
    <w:rsid w:val="00394827"/>
    <w:rsid w:val="003A3B87"/>
    <w:rsid w:val="003D5020"/>
    <w:rsid w:val="003F4D4C"/>
    <w:rsid w:val="00430F7C"/>
    <w:rsid w:val="004416D7"/>
    <w:rsid w:val="0044320F"/>
    <w:rsid w:val="00447DFC"/>
    <w:rsid w:val="00451F54"/>
    <w:rsid w:val="00453114"/>
    <w:rsid w:val="00454352"/>
    <w:rsid w:val="00465F64"/>
    <w:rsid w:val="00482A83"/>
    <w:rsid w:val="00484294"/>
    <w:rsid w:val="004846A2"/>
    <w:rsid w:val="0049218D"/>
    <w:rsid w:val="00492C69"/>
    <w:rsid w:val="004952B7"/>
    <w:rsid w:val="004A7F02"/>
    <w:rsid w:val="004B11E6"/>
    <w:rsid w:val="004C4914"/>
    <w:rsid w:val="004E157C"/>
    <w:rsid w:val="00501921"/>
    <w:rsid w:val="00504DF3"/>
    <w:rsid w:val="005142F2"/>
    <w:rsid w:val="00516E88"/>
    <w:rsid w:val="00524C9F"/>
    <w:rsid w:val="0053477E"/>
    <w:rsid w:val="005505D6"/>
    <w:rsid w:val="00554E51"/>
    <w:rsid w:val="00574470"/>
    <w:rsid w:val="00575167"/>
    <w:rsid w:val="00584E5D"/>
    <w:rsid w:val="00586E86"/>
    <w:rsid w:val="0059136F"/>
    <w:rsid w:val="005918A4"/>
    <w:rsid w:val="00594A9A"/>
    <w:rsid w:val="00596CC0"/>
    <w:rsid w:val="005B6A55"/>
    <w:rsid w:val="005C6E9B"/>
    <w:rsid w:val="005D2A0F"/>
    <w:rsid w:val="005E2834"/>
    <w:rsid w:val="00607F58"/>
    <w:rsid w:val="006152FC"/>
    <w:rsid w:val="00627C35"/>
    <w:rsid w:val="00632A85"/>
    <w:rsid w:val="006335A0"/>
    <w:rsid w:val="00644A08"/>
    <w:rsid w:val="006464C4"/>
    <w:rsid w:val="00657669"/>
    <w:rsid w:val="00660335"/>
    <w:rsid w:val="00660818"/>
    <w:rsid w:val="00670EDB"/>
    <w:rsid w:val="00681D1A"/>
    <w:rsid w:val="00682761"/>
    <w:rsid w:val="00685DB3"/>
    <w:rsid w:val="0069641B"/>
    <w:rsid w:val="006B0137"/>
    <w:rsid w:val="006E09EB"/>
    <w:rsid w:val="006F1A1D"/>
    <w:rsid w:val="00707AAE"/>
    <w:rsid w:val="00707B16"/>
    <w:rsid w:val="00731049"/>
    <w:rsid w:val="00751242"/>
    <w:rsid w:val="00762AF6"/>
    <w:rsid w:val="007650D2"/>
    <w:rsid w:val="00786978"/>
    <w:rsid w:val="00787055"/>
    <w:rsid w:val="007B24A4"/>
    <w:rsid w:val="007D43CA"/>
    <w:rsid w:val="007E70FA"/>
    <w:rsid w:val="0080213A"/>
    <w:rsid w:val="00805030"/>
    <w:rsid w:val="0080642A"/>
    <w:rsid w:val="0085354F"/>
    <w:rsid w:val="00854570"/>
    <w:rsid w:val="00866A6A"/>
    <w:rsid w:val="00867E51"/>
    <w:rsid w:val="00872AF8"/>
    <w:rsid w:val="008779C9"/>
    <w:rsid w:val="008A0742"/>
    <w:rsid w:val="008A0D33"/>
    <w:rsid w:val="008A2A04"/>
    <w:rsid w:val="008B0CA2"/>
    <w:rsid w:val="008B2DD2"/>
    <w:rsid w:val="008D273F"/>
    <w:rsid w:val="008F7073"/>
    <w:rsid w:val="00901D2B"/>
    <w:rsid w:val="0090724F"/>
    <w:rsid w:val="009172F0"/>
    <w:rsid w:val="00933EC0"/>
    <w:rsid w:val="00935B2D"/>
    <w:rsid w:val="00944ED2"/>
    <w:rsid w:val="00972EAB"/>
    <w:rsid w:val="0097727C"/>
    <w:rsid w:val="00982EB1"/>
    <w:rsid w:val="00986E4E"/>
    <w:rsid w:val="0099726D"/>
    <w:rsid w:val="009A1DE6"/>
    <w:rsid w:val="009C4982"/>
    <w:rsid w:val="009E526D"/>
    <w:rsid w:val="009F6B49"/>
    <w:rsid w:val="00A25432"/>
    <w:rsid w:val="00A26799"/>
    <w:rsid w:val="00A35990"/>
    <w:rsid w:val="00A35FD6"/>
    <w:rsid w:val="00A5440F"/>
    <w:rsid w:val="00A64EE0"/>
    <w:rsid w:val="00A8685C"/>
    <w:rsid w:val="00A92619"/>
    <w:rsid w:val="00AE2EE2"/>
    <w:rsid w:val="00AE3797"/>
    <w:rsid w:val="00AE74E1"/>
    <w:rsid w:val="00AE7944"/>
    <w:rsid w:val="00B06008"/>
    <w:rsid w:val="00B2296F"/>
    <w:rsid w:val="00B37C54"/>
    <w:rsid w:val="00B436CF"/>
    <w:rsid w:val="00B560C0"/>
    <w:rsid w:val="00B80158"/>
    <w:rsid w:val="00B8190C"/>
    <w:rsid w:val="00B947E2"/>
    <w:rsid w:val="00B9612E"/>
    <w:rsid w:val="00BA4A1F"/>
    <w:rsid w:val="00BD32C2"/>
    <w:rsid w:val="00BD47C6"/>
    <w:rsid w:val="00BE115F"/>
    <w:rsid w:val="00BE7438"/>
    <w:rsid w:val="00C40F8C"/>
    <w:rsid w:val="00C440B6"/>
    <w:rsid w:val="00C464A6"/>
    <w:rsid w:val="00C46673"/>
    <w:rsid w:val="00C76212"/>
    <w:rsid w:val="00C84E76"/>
    <w:rsid w:val="00C86D90"/>
    <w:rsid w:val="00C94FEA"/>
    <w:rsid w:val="00C950BF"/>
    <w:rsid w:val="00CA36EC"/>
    <w:rsid w:val="00CA4D9C"/>
    <w:rsid w:val="00CB0F19"/>
    <w:rsid w:val="00CB20BE"/>
    <w:rsid w:val="00CB7810"/>
    <w:rsid w:val="00CC116E"/>
    <w:rsid w:val="00D02652"/>
    <w:rsid w:val="00D16992"/>
    <w:rsid w:val="00D3440A"/>
    <w:rsid w:val="00D61EDA"/>
    <w:rsid w:val="00D64AA4"/>
    <w:rsid w:val="00D74130"/>
    <w:rsid w:val="00D75248"/>
    <w:rsid w:val="00D765D0"/>
    <w:rsid w:val="00D951EB"/>
    <w:rsid w:val="00D95606"/>
    <w:rsid w:val="00DD20A1"/>
    <w:rsid w:val="00DD70CB"/>
    <w:rsid w:val="00DF655D"/>
    <w:rsid w:val="00E076BD"/>
    <w:rsid w:val="00E14362"/>
    <w:rsid w:val="00E45A3A"/>
    <w:rsid w:val="00E479D4"/>
    <w:rsid w:val="00E61761"/>
    <w:rsid w:val="00E651DF"/>
    <w:rsid w:val="00E96CE8"/>
    <w:rsid w:val="00EA4480"/>
    <w:rsid w:val="00EA7200"/>
    <w:rsid w:val="00ED1879"/>
    <w:rsid w:val="00F04343"/>
    <w:rsid w:val="00F10A03"/>
    <w:rsid w:val="00F14ECE"/>
    <w:rsid w:val="00F167F4"/>
    <w:rsid w:val="00F16D16"/>
    <w:rsid w:val="00F33354"/>
    <w:rsid w:val="00F4206E"/>
    <w:rsid w:val="00F423C5"/>
    <w:rsid w:val="00F426F1"/>
    <w:rsid w:val="00F4534C"/>
    <w:rsid w:val="00F76D33"/>
    <w:rsid w:val="00F84D2F"/>
    <w:rsid w:val="00FA1C7E"/>
    <w:rsid w:val="00FB2EE0"/>
    <w:rsid w:val="00FC0B02"/>
    <w:rsid w:val="00FD4361"/>
    <w:rsid w:val="00FF2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547A2"/>
  <w15:chartTrackingRefBased/>
  <w15:docId w15:val="{5010206F-08B5-4305-BFE6-EEBE1F54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67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0F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270F0"/>
  </w:style>
  <w:style w:type="paragraph" w:styleId="Footer">
    <w:name w:val="footer"/>
    <w:basedOn w:val="Normal"/>
    <w:link w:val="FooterChar"/>
    <w:uiPriority w:val="99"/>
    <w:unhideWhenUsed/>
    <w:rsid w:val="002270F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270F0"/>
  </w:style>
  <w:style w:type="paragraph" w:styleId="NoSpacing">
    <w:name w:val="No Spacing"/>
    <w:uiPriority w:val="1"/>
    <w:qFormat/>
    <w:rsid w:val="00C950BF"/>
    <w:pPr>
      <w:spacing w:after="0" w:line="240" w:lineRule="auto"/>
    </w:pPr>
  </w:style>
  <w:style w:type="paragraph" w:styleId="ListParagraph">
    <w:name w:val="List Paragraph"/>
    <w:basedOn w:val="Normal"/>
    <w:uiPriority w:val="34"/>
    <w:qFormat/>
    <w:rsid w:val="00854570"/>
    <w:pPr>
      <w:spacing w:after="160" w:line="259"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731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049"/>
    <w:rPr>
      <w:rFonts w:ascii="Segoe UI" w:hAnsi="Segoe UI" w:cs="Segoe UI"/>
      <w:sz w:val="18"/>
      <w:szCs w:val="18"/>
    </w:rPr>
  </w:style>
  <w:style w:type="table" w:styleId="TableGrid">
    <w:name w:val="Table Grid"/>
    <w:basedOn w:val="TableNormal"/>
    <w:uiPriority w:val="59"/>
    <w:rsid w:val="00C466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7BB31-C39E-4752-AAC8-C68233BEB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Ambie James Nicolas</dc:creator>
  <cp:keywords/>
  <dc:description/>
  <cp:lastModifiedBy>Noerie Pagaling</cp:lastModifiedBy>
  <cp:revision>6</cp:revision>
  <cp:lastPrinted>2020-07-22T00:52:00Z</cp:lastPrinted>
  <dcterms:created xsi:type="dcterms:W3CDTF">2022-05-12T03:24:00Z</dcterms:created>
  <dcterms:modified xsi:type="dcterms:W3CDTF">2023-09-12T01:28:00Z</dcterms:modified>
</cp:coreProperties>
</file>